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eastAsia="黑体"/>
          <w:sz w:val="32"/>
          <w:szCs w:val="32"/>
        </w:rPr>
      </w:pPr>
      <w:bookmarkStart w:id="0" w:name="_GoBack"/>
      <w:bookmarkEnd w:id="0"/>
      <w:r>
        <w:rPr>
          <w:rFonts w:eastAsia="黑体"/>
          <w:sz w:val="32"/>
          <w:szCs w:val="32"/>
        </w:rPr>
        <w:t>附件</w:t>
      </w:r>
    </w:p>
    <w:p>
      <w:pPr>
        <w:snapToGrid w:val="0"/>
        <w:spacing w:line="620" w:lineRule="exact"/>
        <w:ind w:firstLine="723" w:firstLineChars="200"/>
        <w:jc w:val="center"/>
        <w:rPr>
          <w:rFonts w:eastAsia="黑体"/>
          <w:b/>
          <w:sz w:val="36"/>
          <w:szCs w:val="32"/>
        </w:rPr>
      </w:pPr>
      <w:r>
        <w:rPr>
          <w:rFonts w:eastAsia="黑体"/>
          <w:b/>
          <w:sz w:val="36"/>
          <w:szCs w:val="32"/>
        </w:rPr>
        <w:t>北方地区可再生能源清洁取暖实施方案</w:t>
      </w:r>
    </w:p>
    <w:p>
      <w:pPr>
        <w:snapToGrid w:val="0"/>
        <w:spacing w:line="620" w:lineRule="exact"/>
        <w:ind w:firstLine="723" w:firstLineChars="200"/>
        <w:jc w:val="center"/>
        <w:rPr>
          <w:rFonts w:eastAsia="黑体"/>
          <w:b/>
          <w:sz w:val="32"/>
          <w:szCs w:val="32"/>
        </w:rPr>
      </w:pPr>
      <w:r>
        <w:rPr>
          <w:rFonts w:eastAsia="黑体"/>
          <w:b/>
          <w:sz w:val="36"/>
          <w:szCs w:val="32"/>
        </w:rPr>
        <w:t>编制大纲</w:t>
      </w:r>
    </w:p>
    <w:p>
      <w:pPr>
        <w:snapToGrid w:val="0"/>
        <w:spacing w:line="620" w:lineRule="exact"/>
        <w:ind w:firstLine="640" w:firstLineChars="200"/>
        <w:rPr>
          <w:rFonts w:eastAsia="仿宋_GB2312"/>
          <w:sz w:val="32"/>
          <w:szCs w:val="32"/>
        </w:rPr>
      </w:pPr>
    </w:p>
    <w:p>
      <w:pPr>
        <w:pStyle w:val="5"/>
        <w:numPr>
          <w:ilvl w:val="0"/>
          <w:numId w:val="1"/>
        </w:numPr>
        <w:snapToGrid w:val="0"/>
        <w:spacing w:beforeLines="0" w:line="620" w:lineRule="exact"/>
        <w:ind w:firstLineChars="0"/>
        <w:rPr>
          <w:rFonts w:eastAsia="黑体"/>
          <w:sz w:val="32"/>
          <w:szCs w:val="32"/>
        </w:rPr>
      </w:pPr>
      <w:r>
        <w:rPr>
          <w:rFonts w:eastAsia="黑体"/>
          <w:sz w:val="32"/>
          <w:szCs w:val="32"/>
        </w:rPr>
        <w:t>发展现状</w:t>
      </w:r>
    </w:p>
    <w:p>
      <w:pPr>
        <w:snapToGrid w:val="0"/>
        <w:spacing w:line="620" w:lineRule="exact"/>
        <w:ind w:firstLine="640"/>
        <w:rPr>
          <w:rFonts w:eastAsia="楷体_GB2312"/>
          <w:sz w:val="32"/>
          <w:szCs w:val="32"/>
        </w:rPr>
      </w:pPr>
      <w:r>
        <w:rPr>
          <w:rFonts w:eastAsia="楷体_GB2312"/>
          <w:sz w:val="32"/>
          <w:szCs w:val="32"/>
        </w:rPr>
        <w:t>（一）总体发展情况</w:t>
      </w:r>
    </w:p>
    <w:p>
      <w:pPr>
        <w:adjustRightInd w:val="0"/>
        <w:snapToGrid w:val="0"/>
        <w:spacing w:line="620" w:lineRule="exact"/>
        <w:ind w:firstLine="640" w:firstLineChars="200"/>
        <w:rPr>
          <w:rFonts w:eastAsia="仿宋_GB2312"/>
          <w:sz w:val="32"/>
          <w:szCs w:val="32"/>
        </w:rPr>
      </w:pPr>
      <w:r>
        <w:rPr>
          <w:rFonts w:eastAsia="仿宋_GB2312"/>
          <w:sz w:val="32"/>
          <w:szCs w:val="32"/>
        </w:rPr>
        <w:t>参考国家能源局综合司</w:t>
      </w:r>
      <w:r>
        <w:rPr>
          <w:rFonts w:hint="eastAsia" w:eastAsia="仿宋_GB2312"/>
          <w:sz w:val="32"/>
          <w:szCs w:val="32"/>
        </w:rPr>
        <w:t>《</w:t>
      </w:r>
      <w:r>
        <w:rPr>
          <w:rFonts w:eastAsia="仿宋_GB2312"/>
          <w:sz w:val="32"/>
          <w:szCs w:val="32"/>
        </w:rPr>
        <w:t>关于</w:t>
      </w:r>
      <w:r>
        <w:rPr>
          <w:rFonts w:hint="eastAsia" w:eastAsia="仿宋_GB2312"/>
          <w:sz w:val="32"/>
          <w:szCs w:val="32"/>
        </w:rPr>
        <w:t>请提供清洁取暖材料的函</w:t>
      </w:r>
      <w:r>
        <w:rPr>
          <w:rFonts w:eastAsia="仿宋_GB2312"/>
          <w:sz w:val="32"/>
          <w:szCs w:val="32"/>
        </w:rPr>
        <w:t>》</w:t>
      </w:r>
      <w:r>
        <w:rPr>
          <w:rFonts w:hint="eastAsia" w:eastAsia="仿宋_GB2312"/>
          <w:sz w:val="32"/>
          <w:szCs w:val="32"/>
        </w:rPr>
        <w:t>（国能综电力【2017】145号）</w:t>
      </w:r>
      <w:r>
        <w:rPr>
          <w:rFonts w:eastAsia="仿宋_GB2312"/>
          <w:sz w:val="32"/>
          <w:szCs w:val="32"/>
        </w:rPr>
        <w:t>，总结本地区取暖发展现状。主要包括：应用规模（取暖面积、折算标煤量）、类型（集中、分散等）、地区（城区、城郊结合部、农村）、取暖方式（燃煤、天然气、可再生能源等）、资源条件等。</w:t>
      </w:r>
    </w:p>
    <w:p>
      <w:pPr>
        <w:snapToGrid w:val="0"/>
        <w:spacing w:line="620" w:lineRule="exact"/>
        <w:ind w:firstLine="640"/>
        <w:rPr>
          <w:rFonts w:eastAsia="楷体_GB2312"/>
          <w:sz w:val="32"/>
          <w:szCs w:val="32"/>
        </w:rPr>
      </w:pPr>
      <w:r>
        <w:rPr>
          <w:rFonts w:eastAsia="楷体_GB2312"/>
          <w:sz w:val="32"/>
          <w:szCs w:val="32"/>
        </w:rPr>
        <w:t>（二）可再生能源清洁取暖发展情况</w:t>
      </w:r>
    </w:p>
    <w:p>
      <w:pPr>
        <w:snapToGrid w:val="0"/>
        <w:spacing w:line="620" w:lineRule="exact"/>
        <w:ind w:firstLine="640"/>
        <w:rPr>
          <w:rFonts w:eastAsia="仿宋_GB2312"/>
          <w:sz w:val="32"/>
          <w:szCs w:val="32"/>
        </w:rPr>
      </w:pPr>
      <w:r>
        <w:rPr>
          <w:rFonts w:eastAsia="仿宋_GB2312"/>
          <w:sz w:val="32"/>
          <w:szCs w:val="32"/>
        </w:rPr>
        <w:t>总结本地区各类可再生能源清洁取暖技术的应用规模（取暖面积、折算标煤量）、类型（集中、分散等）、地区（城区、城郊结合部、农村）、以及资源条件等。</w:t>
      </w:r>
    </w:p>
    <w:p>
      <w:pPr>
        <w:snapToGrid w:val="0"/>
        <w:spacing w:line="620" w:lineRule="exact"/>
        <w:ind w:firstLine="640" w:firstLineChars="200"/>
        <w:rPr>
          <w:rFonts w:eastAsia="仿宋_GB2312"/>
          <w:sz w:val="32"/>
          <w:szCs w:val="32"/>
        </w:rPr>
      </w:pPr>
      <w:r>
        <w:rPr>
          <w:rFonts w:eastAsia="楷体_GB2312"/>
          <w:sz w:val="32"/>
          <w:szCs w:val="32"/>
        </w:rPr>
        <w:t>1、</w:t>
      </w:r>
      <w:r>
        <w:rPr>
          <w:rFonts w:eastAsia="仿宋_GB2312"/>
          <w:sz w:val="32"/>
          <w:szCs w:val="32"/>
        </w:rPr>
        <w:t>资源潜力</w:t>
      </w:r>
    </w:p>
    <w:p>
      <w:pPr>
        <w:snapToGrid w:val="0"/>
        <w:spacing w:line="620" w:lineRule="exact"/>
        <w:ind w:firstLine="640" w:firstLineChars="200"/>
        <w:rPr>
          <w:rFonts w:eastAsia="楷体_GB2312"/>
          <w:sz w:val="32"/>
          <w:szCs w:val="32"/>
        </w:rPr>
      </w:pPr>
      <w:r>
        <w:rPr>
          <w:rFonts w:eastAsia="仿宋_GB2312"/>
          <w:sz w:val="32"/>
          <w:szCs w:val="32"/>
        </w:rPr>
        <w:t>包括风能、太阳能、地热能、生物质能等各类可再生能源资源的基本情况，尤其是技术可开发量（资源收集量）、分布情况、</w:t>
      </w:r>
      <w:r>
        <w:rPr>
          <w:rFonts w:hint="eastAsia" w:eastAsia="仿宋_GB2312"/>
          <w:sz w:val="32"/>
          <w:szCs w:val="32"/>
        </w:rPr>
        <w:t>可再生能源电力消纳情况、</w:t>
      </w:r>
      <w:r>
        <w:rPr>
          <w:rFonts w:eastAsia="仿宋_GB2312"/>
          <w:sz w:val="32"/>
          <w:szCs w:val="32"/>
        </w:rPr>
        <w:t>目前主要开发利用方式（一种或多种可再生能源，可再生能源与化石能源结合等）及相应数据等。</w:t>
      </w:r>
    </w:p>
    <w:p>
      <w:pPr>
        <w:snapToGrid w:val="0"/>
        <w:spacing w:line="620" w:lineRule="exact"/>
        <w:ind w:firstLine="640" w:firstLineChars="200"/>
        <w:rPr>
          <w:rFonts w:eastAsia="仿宋_GB2312"/>
          <w:sz w:val="32"/>
          <w:szCs w:val="32"/>
        </w:rPr>
      </w:pPr>
      <w:r>
        <w:rPr>
          <w:rFonts w:eastAsia="仿宋_GB2312"/>
          <w:sz w:val="32"/>
          <w:szCs w:val="32"/>
        </w:rPr>
        <w:t>2、发展现状</w:t>
      </w:r>
    </w:p>
    <w:p>
      <w:pPr>
        <w:snapToGrid w:val="0"/>
        <w:spacing w:line="620" w:lineRule="exact"/>
        <w:ind w:firstLine="640" w:firstLineChars="200"/>
        <w:rPr>
          <w:rFonts w:eastAsia="仿宋_GB2312"/>
          <w:sz w:val="32"/>
          <w:szCs w:val="32"/>
        </w:rPr>
      </w:pPr>
      <w:r>
        <w:rPr>
          <w:rFonts w:eastAsia="仿宋_GB2312"/>
          <w:sz w:val="32"/>
          <w:szCs w:val="32"/>
        </w:rPr>
        <w:t>1）主要利用方式，分布地区（较大城市、中小城镇、城郊、农村等），利用规模（主要是取暖面积和人口，包括总体规模和城镇不同地区的典型项目规模）；</w:t>
      </w:r>
    </w:p>
    <w:p>
      <w:pPr>
        <w:snapToGrid w:val="0"/>
        <w:spacing w:line="620" w:lineRule="exact"/>
        <w:ind w:firstLine="640" w:firstLineChars="200"/>
        <w:rPr>
          <w:rFonts w:eastAsia="仿宋_GB2312"/>
          <w:sz w:val="32"/>
          <w:szCs w:val="32"/>
        </w:rPr>
      </w:pPr>
      <w:r>
        <w:rPr>
          <w:rFonts w:eastAsia="仿宋_GB2312"/>
          <w:sz w:val="32"/>
          <w:szCs w:val="32"/>
        </w:rPr>
        <w:t>2）各类可再生能源取暖利用量，已形成规模的分地区的利用量，以及占总供热需求的比重；供热利用生物质、地热能等资源年消耗量。</w:t>
      </w:r>
    </w:p>
    <w:p>
      <w:pPr>
        <w:snapToGrid w:val="0"/>
        <w:spacing w:line="620" w:lineRule="exact"/>
        <w:ind w:firstLine="640" w:firstLineChars="200"/>
        <w:rPr>
          <w:rFonts w:eastAsia="仿宋_GB2312"/>
          <w:sz w:val="32"/>
          <w:szCs w:val="32"/>
        </w:rPr>
      </w:pPr>
      <w:r>
        <w:rPr>
          <w:rFonts w:eastAsia="仿宋_GB2312"/>
          <w:sz w:val="32"/>
          <w:szCs w:val="32"/>
        </w:rPr>
        <w:t>3）农村地区可再生能源取暖情况。</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存在问题</w:t>
      </w:r>
    </w:p>
    <w:p>
      <w:pPr>
        <w:pStyle w:val="5"/>
        <w:snapToGrid w:val="0"/>
        <w:spacing w:beforeLines="0" w:line="620" w:lineRule="exact"/>
        <w:ind w:firstLineChars="0"/>
        <w:rPr>
          <w:rFonts w:eastAsia="仿宋_GB2312"/>
          <w:sz w:val="32"/>
          <w:szCs w:val="32"/>
        </w:rPr>
      </w:pPr>
      <w:r>
        <w:rPr>
          <w:rFonts w:eastAsia="仿宋_GB2312"/>
          <w:sz w:val="32"/>
          <w:szCs w:val="32"/>
        </w:rPr>
        <w:t>主要分析可再生能源取暖推广应用过程中遇到的问题和障碍，包括体制机制、技术装备、环境影响等，既分析共性问题，也分析各类可再生能源取暖方式的特殊问题。</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总体要求</w:t>
      </w:r>
    </w:p>
    <w:p>
      <w:pPr>
        <w:pStyle w:val="5"/>
        <w:snapToGrid w:val="0"/>
        <w:spacing w:beforeLines="0" w:line="620" w:lineRule="exact"/>
        <w:ind w:firstLineChars="0"/>
        <w:rPr>
          <w:rFonts w:eastAsia="仿宋_GB2312"/>
          <w:sz w:val="32"/>
          <w:szCs w:val="32"/>
        </w:rPr>
      </w:pPr>
      <w:r>
        <w:rPr>
          <w:rFonts w:eastAsia="仿宋_GB2312"/>
          <w:sz w:val="32"/>
          <w:szCs w:val="32"/>
        </w:rPr>
        <w:t xml:space="preserve">（一）指导思想 </w:t>
      </w:r>
    </w:p>
    <w:p>
      <w:pPr>
        <w:pStyle w:val="5"/>
        <w:snapToGrid w:val="0"/>
        <w:spacing w:beforeLines="0" w:line="620" w:lineRule="exact"/>
        <w:ind w:firstLineChars="0"/>
        <w:rPr>
          <w:rFonts w:eastAsia="仿宋_GB2312"/>
          <w:sz w:val="32"/>
          <w:szCs w:val="32"/>
        </w:rPr>
      </w:pPr>
      <w:r>
        <w:rPr>
          <w:rFonts w:eastAsia="仿宋_GB2312"/>
          <w:sz w:val="32"/>
          <w:szCs w:val="32"/>
        </w:rPr>
        <w:t>（二）基本原则</w:t>
      </w:r>
    </w:p>
    <w:p>
      <w:pPr>
        <w:pStyle w:val="5"/>
        <w:snapToGrid w:val="0"/>
        <w:spacing w:beforeLines="0" w:line="620" w:lineRule="exact"/>
        <w:ind w:firstLineChars="0"/>
        <w:rPr>
          <w:rFonts w:eastAsia="仿宋_GB2312"/>
          <w:sz w:val="32"/>
          <w:szCs w:val="32"/>
        </w:rPr>
      </w:pPr>
      <w:r>
        <w:rPr>
          <w:rFonts w:eastAsia="仿宋_GB2312"/>
          <w:sz w:val="32"/>
          <w:szCs w:val="32"/>
        </w:rPr>
        <w:t>（三）发展思路</w:t>
      </w:r>
    </w:p>
    <w:p>
      <w:pPr>
        <w:pStyle w:val="5"/>
        <w:snapToGrid w:val="0"/>
        <w:spacing w:beforeLines="0" w:line="620" w:lineRule="exact"/>
        <w:ind w:firstLineChars="0"/>
        <w:rPr>
          <w:rFonts w:eastAsia="仿宋_GB2312"/>
          <w:sz w:val="32"/>
          <w:szCs w:val="32"/>
        </w:rPr>
      </w:pPr>
      <w:r>
        <w:rPr>
          <w:rFonts w:eastAsia="仿宋_GB2312"/>
          <w:sz w:val="32"/>
          <w:szCs w:val="32"/>
        </w:rPr>
        <w:t>（四）发展目标</w:t>
      </w:r>
    </w:p>
    <w:p>
      <w:pPr>
        <w:pStyle w:val="5"/>
        <w:snapToGrid w:val="0"/>
        <w:spacing w:beforeLines="0" w:line="620" w:lineRule="exact"/>
        <w:ind w:firstLineChars="0"/>
        <w:rPr>
          <w:rFonts w:eastAsia="仿宋_GB2312"/>
          <w:sz w:val="32"/>
          <w:szCs w:val="32"/>
        </w:rPr>
      </w:pPr>
      <w:r>
        <w:rPr>
          <w:rFonts w:eastAsia="仿宋_GB2312"/>
          <w:sz w:val="32"/>
          <w:szCs w:val="32"/>
        </w:rPr>
        <w:t>在分析可再生能源取暖未来发展潜力基础上，结合本地区今后5年供暖需求，制定2017-2021年可再生能源清洁取暖的发展目标。包括省级区域的可再生能源取暖总量目标、各类技术类型的目标、占城镇区域供热面积比例、占农村地区供热面积比例等。</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发展布局</w:t>
      </w:r>
    </w:p>
    <w:p>
      <w:pPr>
        <w:snapToGrid w:val="0"/>
        <w:spacing w:line="620" w:lineRule="exact"/>
        <w:ind w:firstLine="640" w:firstLineChars="200"/>
        <w:rPr>
          <w:rFonts w:eastAsia="仿宋_GB2312"/>
          <w:sz w:val="32"/>
          <w:szCs w:val="32"/>
        </w:rPr>
      </w:pPr>
      <w:r>
        <w:rPr>
          <w:rFonts w:eastAsia="仿宋_GB2312"/>
          <w:sz w:val="32"/>
          <w:szCs w:val="32"/>
        </w:rPr>
        <w:t>主要是制定本省（区、市）在城市主城区、城镇地区（城中村、城郊结合部等）、农村地区开展可再生能源清洁取暖工作的整体布局，包括可再生能源热源类型及建设规模、供热区域、配套基础设施等，可以结合区域能源转型示范等工作创新发展模式。</w:t>
      </w:r>
    </w:p>
    <w:p>
      <w:pPr>
        <w:snapToGrid w:val="0"/>
        <w:spacing w:line="620" w:lineRule="exact"/>
        <w:ind w:firstLine="640"/>
        <w:rPr>
          <w:rFonts w:eastAsia="楷体_GB2312"/>
          <w:sz w:val="32"/>
          <w:szCs w:val="32"/>
        </w:rPr>
      </w:pPr>
      <w:r>
        <w:rPr>
          <w:rFonts w:eastAsia="楷体_GB2312"/>
          <w:sz w:val="32"/>
          <w:szCs w:val="32"/>
        </w:rPr>
        <w:t>（一）主要城区</w:t>
      </w:r>
    </w:p>
    <w:p>
      <w:pPr>
        <w:snapToGrid w:val="0"/>
        <w:spacing w:line="620" w:lineRule="exact"/>
        <w:ind w:firstLine="640"/>
        <w:rPr>
          <w:rFonts w:eastAsia="楷体_GB2312"/>
          <w:sz w:val="32"/>
          <w:szCs w:val="32"/>
        </w:rPr>
      </w:pPr>
      <w:r>
        <w:rPr>
          <w:rFonts w:eastAsia="楷体_GB2312"/>
          <w:sz w:val="32"/>
          <w:szCs w:val="32"/>
        </w:rPr>
        <w:t>（二）城镇地区</w:t>
      </w:r>
    </w:p>
    <w:p>
      <w:pPr>
        <w:snapToGrid w:val="0"/>
        <w:spacing w:line="620" w:lineRule="exact"/>
        <w:ind w:firstLine="640"/>
        <w:rPr>
          <w:rFonts w:eastAsia="楷体_GB2312"/>
          <w:sz w:val="32"/>
          <w:szCs w:val="32"/>
        </w:rPr>
      </w:pPr>
      <w:r>
        <w:rPr>
          <w:rFonts w:eastAsia="楷体_GB2312"/>
          <w:sz w:val="32"/>
          <w:szCs w:val="32"/>
        </w:rPr>
        <w:t>（三）农村地区</w:t>
      </w:r>
    </w:p>
    <w:p>
      <w:pPr>
        <w:snapToGrid w:val="0"/>
        <w:spacing w:line="620" w:lineRule="exact"/>
        <w:ind w:firstLine="640"/>
        <w:rPr>
          <w:rFonts w:eastAsia="楷体_GB2312"/>
          <w:sz w:val="32"/>
          <w:szCs w:val="32"/>
        </w:rPr>
      </w:pPr>
      <w:r>
        <w:rPr>
          <w:rFonts w:eastAsia="楷体_GB2312"/>
          <w:sz w:val="32"/>
          <w:szCs w:val="32"/>
        </w:rPr>
        <w:t>（四）各类可再生能源清洁取暖</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重大工程</w:t>
      </w:r>
    </w:p>
    <w:p>
      <w:pPr>
        <w:pStyle w:val="5"/>
        <w:snapToGrid w:val="0"/>
        <w:spacing w:beforeLines="0" w:line="620" w:lineRule="exact"/>
        <w:ind w:firstLineChars="0"/>
        <w:rPr>
          <w:rFonts w:eastAsia="仿宋_GB2312"/>
          <w:sz w:val="32"/>
          <w:szCs w:val="32"/>
        </w:rPr>
      </w:pPr>
      <w:r>
        <w:rPr>
          <w:rFonts w:eastAsia="仿宋_GB2312"/>
          <w:sz w:val="32"/>
          <w:szCs w:val="32"/>
        </w:rPr>
        <w:t>各地区要根据当地资源优势和取暖需求，按集中供暖与分散取暖相结合的原则，确定适合当地</w:t>
      </w:r>
      <w:r>
        <w:rPr>
          <w:rFonts w:hint="eastAsia" w:eastAsia="仿宋_GB2312"/>
          <w:sz w:val="32"/>
          <w:szCs w:val="32"/>
        </w:rPr>
        <w:t>实际</w:t>
      </w:r>
      <w:r>
        <w:rPr>
          <w:rFonts w:eastAsia="仿宋_GB2312"/>
          <w:sz w:val="32"/>
          <w:szCs w:val="32"/>
        </w:rPr>
        <w:t>的主推的可再生能源供暖方式。提出2017-2021年可再生能源清洁取暖的重大工程，列出各地区今年启动的可再生能源清洁取暖工程，争取一部分工程在2017年度供暖季前完工投入使用。</w:t>
      </w:r>
    </w:p>
    <w:p>
      <w:pPr>
        <w:pStyle w:val="6"/>
        <w:numPr>
          <w:ilvl w:val="0"/>
          <w:numId w:val="2"/>
        </w:numPr>
        <w:snapToGrid w:val="0"/>
        <w:spacing w:line="620" w:lineRule="exact"/>
        <w:ind w:firstLineChars="0"/>
        <w:rPr>
          <w:rFonts w:eastAsia="楷体_GB2312"/>
          <w:sz w:val="32"/>
          <w:szCs w:val="32"/>
        </w:rPr>
      </w:pPr>
      <w:r>
        <w:rPr>
          <w:rFonts w:eastAsia="楷体_GB2312"/>
          <w:sz w:val="32"/>
          <w:szCs w:val="32"/>
        </w:rPr>
        <w:t>地热能供热技术</w:t>
      </w:r>
    </w:p>
    <w:p>
      <w:pPr>
        <w:snapToGrid w:val="0"/>
        <w:spacing w:line="620" w:lineRule="exact"/>
        <w:ind w:firstLine="640" w:firstLineChars="200"/>
        <w:rPr>
          <w:rFonts w:eastAsia="仿宋_GB2312"/>
          <w:sz w:val="32"/>
          <w:szCs w:val="32"/>
        </w:rPr>
      </w:pPr>
      <w:r>
        <w:rPr>
          <w:rFonts w:eastAsia="仿宋_GB2312"/>
          <w:sz w:val="32"/>
          <w:szCs w:val="32"/>
        </w:rPr>
        <w:t>1、具备中深层地热资源的地区，要整体规划、集约化开发，尽可能按集中供暖方式建设；</w:t>
      </w:r>
    </w:p>
    <w:p>
      <w:pPr>
        <w:snapToGrid w:val="0"/>
        <w:spacing w:line="62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因地制宜应用</w:t>
      </w:r>
      <w:r>
        <w:rPr>
          <w:rFonts w:eastAsia="仿宋_GB2312"/>
          <w:sz w:val="32"/>
          <w:szCs w:val="32"/>
        </w:rPr>
        <w:t>各类热泵供暖</w:t>
      </w:r>
      <w:r>
        <w:rPr>
          <w:rFonts w:hint="eastAsia" w:eastAsia="仿宋_GB2312"/>
          <w:sz w:val="32"/>
          <w:szCs w:val="32"/>
        </w:rPr>
        <w:t>技术。</w:t>
      </w:r>
      <w:r>
        <w:rPr>
          <w:rFonts w:eastAsia="仿宋_GB2312"/>
          <w:sz w:val="32"/>
          <w:szCs w:val="32"/>
        </w:rPr>
        <w:t>具备城市污水、江河湖水体热源条件的，要适度</w:t>
      </w:r>
      <w:r>
        <w:rPr>
          <w:rFonts w:hint="eastAsia" w:eastAsia="仿宋_GB2312"/>
          <w:sz w:val="32"/>
          <w:szCs w:val="32"/>
        </w:rPr>
        <w:t>进行水源热泵的</w:t>
      </w:r>
      <w:r>
        <w:rPr>
          <w:rFonts w:eastAsia="仿宋_GB2312"/>
          <w:sz w:val="32"/>
          <w:szCs w:val="32"/>
        </w:rPr>
        <w:t>集中利用</w:t>
      </w:r>
      <w:r>
        <w:rPr>
          <w:rFonts w:hint="eastAsia" w:eastAsia="仿宋_GB2312"/>
          <w:sz w:val="32"/>
          <w:szCs w:val="32"/>
        </w:rPr>
        <w:t>；</w:t>
      </w:r>
      <w:r>
        <w:rPr>
          <w:rFonts w:eastAsia="仿宋_GB2312"/>
          <w:sz w:val="32"/>
          <w:szCs w:val="32"/>
        </w:rPr>
        <w:t>对已有城镇集中供暖难以到达地区或农村，因地制宜推行空气源、地源等热泵供暖</w:t>
      </w:r>
      <w:r>
        <w:rPr>
          <w:rFonts w:hint="eastAsia" w:eastAsia="仿宋_GB2312"/>
          <w:sz w:val="32"/>
          <w:szCs w:val="32"/>
        </w:rPr>
        <w:t>；根据电力、燃气、余热条件，使用电热泵、燃气、余热等适宜的热泵设备。</w:t>
      </w:r>
    </w:p>
    <w:p>
      <w:pPr>
        <w:snapToGrid w:val="0"/>
        <w:spacing w:line="620" w:lineRule="exact"/>
        <w:ind w:firstLine="640"/>
        <w:rPr>
          <w:rFonts w:eastAsia="楷体_GB2312"/>
          <w:sz w:val="32"/>
          <w:szCs w:val="32"/>
        </w:rPr>
      </w:pPr>
      <w:r>
        <w:rPr>
          <w:rFonts w:eastAsia="楷体_GB2312"/>
          <w:sz w:val="32"/>
          <w:szCs w:val="32"/>
        </w:rPr>
        <w:t>（二）生物质能供热</w:t>
      </w:r>
    </w:p>
    <w:p>
      <w:pPr>
        <w:snapToGrid w:val="0"/>
        <w:spacing w:line="620" w:lineRule="exact"/>
        <w:ind w:firstLine="640"/>
        <w:rPr>
          <w:rFonts w:eastAsia="仿宋_GB2312"/>
          <w:sz w:val="32"/>
          <w:szCs w:val="32"/>
        </w:rPr>
      </w:pPr>
      <w:r>
        <w:rPr>
          <w:rFonts w:eastAsia="仿宋_GB2312"/>
          <w:sz w:val="32"/>
          <w:szCs w:val="32"/>
        </w:rPr>
        <w:t>生物质发电尽可能实行热电联产集中供暖，不具备建设生物质热电厂条件的地区，可推广生物质锅炉供暖或生物质成型燃料。</w:t>
      </w:r>
    </w:p>
    <w:p>
      <w:pPr>
        <w:numPr>
          <w:ilvl w:val="0"/>
          <w:numId w:val="3"/>
        </w:numPr>
        <w:snapToGrid w:val="0"/>
        <w:spacing w:line="620" w:lineRule="exact"/>
        <w:rPr>
          <w:rFonts w:eastAsia="仿宋_GB2312"/>
          <w:sz w:val="32"/>
          <w:szCs w:val="32"/>
        </w:rPr>
      </w:pPr>
      <w:r>
        <w:rPr>
          <w:rFonts w:hint="eastAsia" w:eastAsia="仿宋_GB2312"/>
          <w:sz w:val="32"/>
          <w:szCs w:val="32"/>
        </w:rPr>
        <w:t>生物质热电联产</w:t>
      </w:r>
    </w:p>
    <w:p>
      <w:pPr>
        <w:numPr>
          <w:ilvl w:val="0"/>
          <w:numId w:val="3"/>
        </w:numPr>
        <w:snapToGrid w:val="0"/>
        <w:spacing w:line="620" w:lineRule="exact"/>
        <w:rPr>
          <w:rFonts w:eastAsia="楷体_GB2312"/>
          <w:sz w:val="32"/>
          <w:szCs w:val="32"/>
        </w:rPr>
      </w:pPr>
      <w:r>
        <w:rPr>
          <w:rFonts w:hint="eastAsia" w:eastAsia="仿宋_GB2312"/>
          <w:sz w:val="32"/>
          <w:szCs w:val="32"/>
        </w:rPr>
        <w:t>生物质成型燃料供热</w:t>
      </w:r>
    </w:p>
    <w:p>
      <w:pPr>
        <w:numPr>
          <w:ilvl w:val="0"/>
          <w:numId w:val="3"/>
        </w:numPr>
        <w:snapToGrid w:val="0"/>
        <w:spacing w:line="620" w:lineRule="exact"/>
        <w:rPr>
          <w:rFonts w:eastAsia="楷体_GB2312"/>
          <w:sz w:val="32"/>
          <w:szCs w:val="32"/>
        </w:rPr>
      </w:pPr>
      <w:r>
        <w:rPr>
          <w:rFonts w:hint="eastAsia" w:eastAsia="仿宋_GB2312"/>
          <w:sz w:val="32"/>
          <w:szCs w:val="32"/>
        </w:rPr>
        <w:t>沼气等其他生物质供热</w:t>
      </w:r>
    </w:p>
    <w:p>
      <w:pPr>
        <w:snapToGrid w:val="0"/>
        <w:spacing w:line="620" w:lineRule="exact"/>
        <w:ind w:firstLine="640"/>
        <w:rPr>
          <w:rFonts w:eastAsia="楷体_GB2312"/>
          <w:sz w:val="32"/>
          <w:szCs w:val="32"/>
        </w:rPr>
      </w:pPr>
      <w:r>
        <w:rPr>
          <w:rFonts w:eastAsia="楷体_GB2312"/>
          <w:sz w:val="32"/>
          <w:szCs w:val="32"/>
        </w:rPr>
        <w:t>（三）太阳能供热</w:t>
      </w:r>
    </w:p>
    <w:p>
      <w:pPr>
        <w:snapToGrid w:val="0"/>
        <w:spacing w:line="620" w:lineRule="exact"/>
        <w:ind w:firstLine="640"/>
        <w:rPr>
          <w:rFonts w:eastAsia="楷体_GB2312"/>
          <w:sz w:val="32"/>
          <w:szCs w:val="32"/>
        </w:rPr>
      </w:pPr>
      <w:r>
        <w:rPr>
          <w:rFonts w:eastAsia="楷体_GB2312"/>
          <w:sz w:val="32"/>
          <w:szCs w:val="32"/>
        </w:rPr>
        <w:t>（四）可再生能源电力取暖</w:t>
      </w:r>
    </w:p>
    <w:p>
      <w:pPr>
        <w:snapToGrid w:val="0"/>
        <w:spacing w:line="620" w:lineRule="exact"/>
        <w:ind w:firstLine="640" w:firstLineChars="200"/>
        <w:rPr>
          <w:rFonts w:eastAsia="仿宋_GB2312"/>
          <w:sz w:val="32"/>
          <w:szCs w:val="32"/>
        </w:rPr>
      </w:pPr>
      <w:r>
        <w:rPr>
          <w:rFonts w:eastAsia="仿宋_GB2312"/>
          <w:sz w:val="32"/>
          <w:szCs w:val="32"/>
        </w:rPr>
        <w:t>在风电富集地区，推广电锅炉为主的清洁供暖，风电企业、热力企业、电网公司在当地政府协调下签订长期供用电（或电力交易）协议，电网公司降低输配电价，使风电供暖与燃煤供暖热价基本相当。按当地风电10%电量用于供暖进行测算，以地级市为单元，按500-2000万平方米进行规划。</w:t>
      </w:r>
    </w:p>
    <w:p>
      <w:pPr>
        <w:snapToGrid w:val="0"/>
        <w:spacing w:line="620" w:lineRule="exact"/>
        <w:ind w:firstLine="640"/>
        <w:rPr>
          <w:rFonts w:eastAsia="楷体_GB2312"/>
          <w:sz w:val="32"/>
          <w:szCs w:val="32"/>
        </w:rPr>
      </w:pPr>
      <w:r>
        <w:rPr>
          <w:rFonts w:eastAsia="楷体_GB2312"/>
          <w:sz w:val="32"/>
          <w:szCs w:val="32"/>
        </w:rPr>
        <w:t>（五）农村地区</w:t>
      </w:r>
    </w:p>
    <w:p>
      <w:pPr>
        <w:snapToGrid w:val="0"/>
        <w:spacing w:line="620" w:lineRule="exact"/>
        <w:ind w:firstLine="640"/>
        <w:rPr>
          <w:rFonts w:eastAsia="仿宋_GB2312"/>
          <w:sz w:val="32"/>
          <w:szCs w:val="32"/>
        </w:rPr>
      </w:pPr>
      <w:r>
        <w:rPr>
          <w:rFonts w:hint="eastAsia" w:eastAsia="仿宋_GB2312"/>
          <w:sz w:val="32"/>
          <w:szCs w:val="32"/>
        </w:rPr>
        <w:t>结合新农村建设、异地搬迁、小城镇、中心村建设等，在农村推广小型可再生能源集中供暖设施。根据资源条件，推广地源、空气源热泵供暖、生物质锅炉供暖，支持农村地区应用电供暖。</w:t>
      </w:r>
    </w:p>
    <w:p>
      <w:pPr>
        <w:snapToGrid w:val="0"/>
        <w:spacing w:line="620" w:lineRule="exact"/>
        <w:ind w:firstLine="640"/>
        <w:rPr>
          <w:rFonts w:eastAsia="楷体_GB2312"/>
          <w:sz w:val="32"/>
          <w:szCs w:val="32"/>
        </w:rPr>
      </w:pPr>
      <w:r>
        <w:rPr>
          <w:rFonts w:eastAsia="楷体_GB2312"/>
          <w:sz w:val="32"/>
          <w:szCs w:val="32"/>
        </w:rPr>
        <w:t>（六）创新示范工程</w:t>
      </w:r>
    </w:p>
    <w:p>
      <w:pPr>
        <w:snapToGrid w:val="0"/>
        <w:spacing w:line="620" w:lineRule="exact"/>
        <w:ind w:firstLine="640"/>
        <w:rPr>
          <w:rFonts w:eastAsia="仿宋_GB2312"/>
          <w:sz w:val="32"/>
          <w:szCs w:val="32"/>
        </w:rPr>
      </w:pPr>
      <w:r>
        <w:rPr>
          <w:rFonts w:hint="eastAsia" w:eastAsia="仿宋_GB2312"/>
          <w:sz w:val="32"/>
          <w:szCs w:val="32"/>
        </w:rPr>
        <w:t>将供暖与分布式发电等结合，探索分布式综合功能技术组合和经营模式，结合电力体制改革、燃气、供热体制改革等，建立综合供能服务区，以能源互联网理念推动清洁供热和清洁能源的智能化综合利用。</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政策和机制</w:t>
      </w:r>
    </w:p>
    <w:p>
      <w:pPr>
        <w:snapToGrid w:val="0"/>
        <w:spacing w:line="620" w:lineRule="exact"/>
        <w:ind w:firstLine="640" w:firstLineChars="200"/>
        <w:rPr>
          <w:rFonts w:eastAsia="仿宋_GB2312"/>
          <w:sz w:val="32"/>
          <w:szCs w:val="32"/>
        </w:rPr>
      </w:pPr>
      <w:r>
        <w:rPr>
          <w:rFonts w:eastAsia="仿宋_GB2312"/>
          <w:sz w:val="32"/>
          <w:szCs w:val="32"/>
        </w:rPr>
        <w:t>按照国家出台的支持清洁取暖政策以及本地区的支持政策措施，说明本地区可再生能源取暖可得到的政策支持条件，并分析现在这些政策条件可取得的实际效果。在供热体制、热力管网建设投资、热价、供热环节衔接等方面理顺机制，说明可再生能源供暖项目与城镇热力公司等方面的关系以及市场机制安排。</w:t>
      </w:r>
    </w:p>
    <w:p>
      <w:pPr>
        <w:snapToGrid w:val="0"/>
        <w:spacing w:line="620" w:lineRule="exact"/>
        <w:ind w:firstLine="640"/>
        <w:rPr>
          <w:rFonts w:eastAsia="楷体_GB2312"/>
          <w:sz w:val="32"/>
          <w:szCs w:val="32"/>
        </w:rPr>
      </w:pPr>
      <w:r>
        <w:rPr>
          <w:rFonts w:eastAsia="楷体_GB2312"/>
          <w:sz w:val="32"/>
          <w:szCs w:val="32"/>
        </w:rPr>
        <w:t>（一）地热能供热技术</w:t>
      </w:r>
    </w:p>
    <w:p>
      <w:pPr>
        <w:snapToGrid w:val="0"/>
        <w:spacing w:line="620" w:lineRule="exact"/>
        <w:ind w:firstLine="640"/>
        <w:rPr>
          <w:rFonts w:eastAsia="楷体_GB2312"/>
          <w:sz w:val="32"/>
          <w:szCs w:val="32"/>
        </w:rPr>
      </w:pPr>
      <w:r>
        <w:rPr>
          <w:rFonts w:eastAsia="楷体_GB2312"/>
          <w:sz w:val="32"/>
          <w:szCs w:val="32"/>
        </w:rPr>
        <w:t>（二）生物质能供热</w:t>
      </w:r>
    </w:p>
    <w:p>
      <w:pPr>
        <w:snapToGrid w:val="0"/>
        <w:spacing w:line="620" w:lineRule="exact"/>
        <w:ind w:firstLine="640"/>
        <w:rPr>
          <w:rFonts w:eastAsia="楷体_GB2312"/>
          <w:sz w:val="32"/>
          <w:szCs w:val="32"/>
        </w:rPr>
      </w:pPr>
      <w:r>
        <w:rPr>
          <w:rFonts w:eastAsia="楷体_GB2312"/>
          <w:sz w:val="32"/>
          <w:szCs w:val="32"/>
        </w:rPr>
        <w:t>（三）太阳能供热</w:t>
      </w:r>
    </w:p>
    <w:p>
      <w:pPr>
        <w:snapToGrid w:val="0"/>
        <w:spacing w:line="620" w:lineRule="exact"/>
        <w:ind w:firstLine="640"/>
        <w:rPr>
          <w:rFonts w:eastAsia="楷体_GB2312"/>
          <w:sz w:val="32"/>
          <w:szCs w:val="32"/>
        </w:rPr>
      </w:pPr>
      <w:r>
        <w:rPr>
          <w:rFonts w:eastAsia="楷体_GB2312"/>
          <w:sz w:val="32"/>
          <w:szCs w:val="32"/>
        </w:rPr>
        <w:t>（四）可再生能源电力取暖</w:t>
      </w:r>
    </w:p>
    <w:p>
      <w:pPr>
        <w:snapToGrid w:val="0"/>
        <w:spacing w:line="620" w:lineRule="exact"/>
        <w:ind w:firstLine="640"/>
        <w:rPr>
          <w:rFonts w:eastAsia="楷体_GB2312"/>
          <w:sz w:val="32"/>
          <w:szCs w:val="32"/>
        </w:rPr>
      </w:pPr>
      <w:r>
        <w:rPr>
          <w:rFonts w:eastAsia="楷体_GB2312"/>
          <w:sz w:val="32"/>
          <w:szCs w:val="32"/>
        </w:rPr>
        <w:t>（五）农村地区</w:t>
      </w:r>
    </w:p>
    <w:p>
      <w:pPr>
        <w:pStyle w:val="5"/>
        <w:numPr>
          <w:ilvl w:val="0"/>
          <w:numId w:val="1"/>
        </w:numPr>
        <w:snapToGrid w:val="0"/>
        <w:spacing w:beforeLines="0" w:line="620" w:lineRule="exact"/>
        <w:ind w:firstLineChars="0"/>
        <w:rPr>
          <w:rFonts w:eastAsia="黑体"/>
          <w:sz w:val="32"/>
          <w:szCs w:val="32"/>
        </w:rPr>
      </w:pPr>
      <w:r>
        <w:rPr>
          <w:rFonts w:eastAsia="黑体"/>
          <w:sz w:val="32"/>
          <w:szCs w:val="32"/>
        </w:rPr>
        <w:t>组织实施</w:t>
      </w:r>
    </w:p>
    <w:p>
      <w:pPr>
        <w:pStyle w:val="5"/>
        <w:snapToGrid w:val="0"/>
        <w:spacing w:beforeLines="0" w:line="620" w:lineRule="exact"/>
        <w:ind w:firstLineChars="0"/>
        <w:rPr>
          <w:rFonts w:eastAsia="仿宋_GB2312"/>
          <w:sz w:val="32"/>
          <w:szCs w:val="32"/>
        </w:rPr>
      </w:pPr>
      <w:r>
        <w:rPr>
          <w:rFonts w:eastAsia="仿宋_GB2312"/>
          <w:sz w:val="32"/>
          <w:szCs w:val="32"/>
        </w:rPr>
        <w:t>提出保障可再生能源清洁取暖的相关建议，包括组织机制、商业模式及相应的进度安排等。</w:t>
      </w:r>
    </w:p>
    <w:p>
      <w:pPr>
        <w:snapToGrid w:val="0"/>
        <w:spacing w:line="620" w:lineRule="exact"/>
        <w:ind w:firstLine="640"/>
        <w:rPr>
          <w:rFonts w:eastAsia="楷体_GB2312"/>
          <w:sz w:val="32"/>
          <w:szCs w:val="32"/>
        </w:rPr>
      </w:pPr>
      <w:r>
        <w:rPr>
          <w:rFonts w:eastAsia="楷体_GB2312"/>
          <w:sz w:val="32"/>
          <w:szCs w:val="32"/>
        </w:rPr>
        <w:t>（一）地热能供热技术</w:t>
      </w:r>
    </w:p>
    <w:p>
      <w:pPr>
        <w:snapToGrid w:val="0"/>
        <w:spacing w:line="620" w:lineRule="exact"/>
        <w:ind w:firstLine="640"/>
        <w:rPr>
          <w:rFonts w:eastAsia="楷体_GB2312"/>
          <w:sz w:val="32"/>
          <w:szCs w:val="32"/>
        </w:rPr>
      </w:pPr>
      <w:r>
        <w:rPr>
          <w:rFonts w:eastAsia="楷体_GB2312"/>
          <w:sz w:val="32"/>
          <w:szCs w:val="32"/>
        </w:rPr>
        <w:t>（二）生物质能供热</w:t>
      </w:r>
    </w:p>
    <w:p>
      <w:pPr>
        <w:snapToGrid w:val="0"/>
        <w:spacing w:line="620" w:lineRule="exact"/>
        <w:ind w:firstLine="640"/>
        <w:rPr>
          <w:rFonts w:eastAsia="楷体_GB2312"/>
          <w:sz w:val="32"/>
          <w:szCs w:val="32"/>
        </w:rPr>
      </w:pPr>
      <w:r>
        <w:rPr>
          <w:rFonts w:eastAsia="楷体_GB2312"/>
          <w:sz w:val="32"/>
          <w:szCs w:val="32"/>
        </w:rPr>
        <w:t>（三）太阳能供热</w:t>
      </w:r>
    </w:p>
    <w:p>
      <w:pPr>
        <w:snapToGrid w:val="0"/>
        <w:spacing w:line="620" w:lineRule="exact"/>
        <w:ind w:firstLine="640"/>
        <w:rPr>
          <w:rFonts w:eastAsia="楷体_GB2312"/>
          <w:sz w:val="32"/>
          <w:szCs w:val="32"/>
        </w:rPr>
      </w:pPr>
      <w:r>
        <w:rPr>
          <w:rFonts w:eastAsia="楷体_GB2312"/>
          <w:sz w:val="32"/>
          <w:szCs w:val="32"/>
        </w:rPr>
        <w:t>（四）可再生能源电力取暖</w:t>
      </w:r>
    </w:p>
    <w:p>
      <w:pPr>
        <w:snapToGrid w:val="0"/>
        <w:spacing w:line="620" w:lineRule="exact"/>
        <w:ind w:firstLine="640"/>
        <w:rPr>
          <w:rFonts w:eastAsia="楷体_GB2312"/>
          <w:sz w:val="32"/>
          <w:szCs w:val="32"/>
        </w:rPr>
      </w:pPr>
      <w:r>
        <w:rPr>
          <w:rFonts w:eastAsia="楷体_GB2312"/>
          <w:sz w:val="32"/>
          <w:szCs w:val="32"/>
        </w:rPr>
        <w:t>（五）农村地区</w:t>
      </w:r>
    </w:p>
    <w:p>
      <w:pPr>
        <w:snapToGrid w:val="0"/>
        <w:spacing w:line="620" w:lineRule="exact"/>
        <w:ind w:firstLine="480"/>
      </w:pPr>
    </w:p>
    <w:p>
      <w:pPr>
        <w:snapToGrid w:val="0"/>
        <w:spacing w:line="620" w:lineRule="exact"/>
        <w:ind w:firstLine="640" w:firstLineChars="200"/>
        <w:rPr>
          <w:rFonts w:eastAsia="仿宋_GB2312"/>
          <w:sz w:val="32"/>
          <w:szCs w:val="32"/>
        </w:rPr>
      </w:pPr>
      <w:r>
        <w:rPr>
          <w:rFonts w:eastAsia="仿宋_GB2312"/>
          <w:sz w:val="32"/>
          <w:szCs w:val="32"/>
        </w:rPr>
        <w:t>附</w:t>
      </w:r>
      <w:r>
        <w:rPr>
          <w:rFonts w:hint="eastAsia" w:eastAsia="仿宋_GB2312"/>
          <w:sz w:val="32"/>
          <w:szCs w:val="32"/>
        </w:rPr>
        <w:t>件</w:t>
      </w:r>
      <w:r>
        <w:rPr>
          <w:rFonts w:eastAsia="仿宋_GB2312"/>
          <w:sz w:val="32"/>
          <w:szCs w:val="32"/>
        </w:rPr>
        <w:t>：1</w:t>
      </w:r>
      <w:r>
        <w:rPr>
          <w:rFonts w:hint="eastAsia" w:eastAsia="仿宋_GB2312"/>
          <w:sz w:val="32"/>
          <w:szCs w:val="32"/>
        </w:rPr>
        <w:t xml:space="preserve">. </w:t>
      </w:r>
      <w:r>
        <w:rPr>
          <w:rFonts w:eastAsia="仿宋_GB2312"/>
          <w:sz w:val="32"/>
          <w:szCs w:val="32"/>
        </w:rPr>
        <w:t>2017-2021年可再生能源清洁取暖发展目标和任务</w:t>
      </w:r>
    </w:p>
    <w:p>
      <w:pPr>
        <w:snapToGrid w:val="0"/>
        <w:spacing w:line="620" w:lineRule="exact"/>
        <w:ind w:firstLine="1440" w:firstLineChars="450"/>
        <w:rPr>
          <w:rFonts w:eastAsia="仿宋_GB2312"/>
          <w:sz w:val="32"/>
          <w:szCs w:val="32"/>
        </w:rPr>
      </w:pPr>
      <w:r>
        <w:rPr>
          <w:rFonts w:eastAsia="仿宋_GB2312"/>
          <w:sz w:val="32"/>
          <w:szCs w:val="32"/>
        </w:rPr>
        <w:t>2</w:t>
      </w:r>
      <w:r>
        <w:rPr>
          <w:rFonts w:hint="eastAsia" w:eastAsia="仿宋_GB2312"/>
          <w:sz w:val="32"/>
          <w:szCs w:val="32"/>
        </w:rPr>
        <w:t xml:space="preserve">. </w:t>
      </w:r>
      <w:r>
        <w:rPr>
          <w:rFonts w:eastAsia="仿宋_GB2312"/>
          <w:sz w:val="32"/>
          <w:szCs w:val="32"/>
        </w:rPr>
        <w:t>2017年可再生能源清洁取暖重点工程</w:t>
      </w:r>
    </w:p>
    <w:p>
      <w:pPr>
        <w:snapToGrid w:val="0"/>
        <w:spacing w:line="620" w:lineRule="exact"/>
        <w:ind w:firstLine="640" w:firstLineChars="200"/>
        <w:rPr>
          <w:rFonts w:eastAsia="仿宋_GB2312"/>
          <w:sz w:val="32"/>
          <w:szCs w:val="32"/>
        </w:rPr>
      </w:pPr>
    </w:p>
    <w:p>
      <w:pPr>
        <w:widowControl/>
        <w:spacing w:line="360" w:lineRule="auto"/>
        <w:ind w:firstLine="640" w:firstLineChars="200"/>
        <w:rPr>
          <w:rFonts w:eastAsia="仿宋_GB2312"/>
          <w:sz w:val="32"/>
          <w:szCs w:val="32"/>
        </w:rPr>
      </w:pPr>
      <w:r>
        <w:rPr>
          <w:rFonts w:eastAsia="仿宋_GB2312"/>
          <w:sz w:val="32"/>
          <w:szCs w:val="32"/>
        </w:rPr>
        <w:br w:type="page"/>
      </w:r>
    </w:p>
    <w:p>
      <w:pPr>
        <w:snapToGrid w:val="0"/>
        <w:spacing w:line="620" w:lineRule="exact"/>
        <w:rPr>
          <w:rFonts w:eastAsia="仿宋_GB2312"/>
          <w:sz w:val="32"/>
          <w:szCs w:val="32"/>
        </w:rPr>
      </w:pPr>
      <w:r>
        <w:rPr>
          <w:rFonts w:hint="eastAsia" w:eastAsia="仿宋_GB2312"/>
          <w:sz w:val="32"/>
          <w:szCs w:val="32"/>
        </w:rPr>
        <w:t>附件</w:t>
      </w:r>
      <w:r>
        <w:rPr>
          <w:rFonts w:eastAsia="仿宋_GB2312"/>
          <w:sz w:val="32"/>
          <w:szCs w:val="32"/>
        </w:rPr>
        <w:t>1</w:t>
      </w:r>
    </w:p>
    <w:p>
      <w:pPr>
        <w:snapToGrid w:val="0"/>
        <w:spacing w:line="620" w:lineRule="exact"/>
        <w:ind w:firstLine="640" w:firstLineChars="200"/>
        <w:jc w:val="center"/>
        <w:rPr>
          <w:rFonts w:eastAsia="仿宋_GB2312"/>
          <w:sz w:val="32"/>
          <w:szCs w:val="32"/>
        </w:rPr>
      </w:pPr>
      <w:r>
        <w:rPr>
          <w:rFonts w:eastAsia="仿宋_GB2312"/>
          <w:sz w:val="32"/>
          <w:szCs w:val="32"/>
        </w:rPr>
        <w:t>2017-2021年可再生能源清洁取暖发展目标和任务</w:t>
      </w:r>
    </w:p>
    <w:p>
      <w:pPr>
        <w:snapToGrid w:val="0"/>
        <w:spacing w:line="620" w:lineRule="exact"/>
        <w:ind w:firstLine="640" w:firstLineChars="200"/>
        <w:jc w:val="center"/>
        <w:rPr>
          <w:rFonts w:eastAsia="仿宋_GB2312"/>
          <w:sz w:val="32"/>
          <w:szCs w:val="32"/>
        </w:rPr>
      </w:pPr>
    </w:p>
    <w:p>
      <w:pPr>
        <w:snapToGrid w:val="0"/>
        <w:spacing w:line="620" w:lineRule="exact"/>
        <w:ind w:firstLine="562" w:firstLineChars="200"/>
        <w:jc w:val="center"/>
        <w:rPr>
          <w:rFonts w:ascii="楷体_GB2312" w:eastAsia="楷体_GB2312"/>
          <w:b/>
          <w:sz w:val="28"/>
          <w:szCs w:val="28"/>
        </w:rPr>
      </w:pPr>
      <w:r>
        <w:rPr>
          <w:rFonts w:hint="eastAsia" w:ascii="楷体_GB2312" w:eastAsia="楷体_GB2312"/>
          <w:b/>
          <w:sz w:val="28"/>
          <w:szCs w:val="28"/>
        </w:rPr>
        <w:t>1-1 全省可再生能源清洁取暖发展目标和任务</w:t>
      </w:r>
    </w:p>
    <w:tbl>
      <w:tblPr>
        <w:tblW w:w="883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7"/>
        <w:gridCol w:w="1358"/>
        <w:gridCol w:w="1358"/>
        <w:gridCol w:w="1358"/>
        <w:gridCol w:w="1358"/>
        <w:gridCol w:w="1358"/>
      </w:tblGrid>
      <w:tr>
        <w:trPr>
          <w:trHeight w:val="317" w:hRule="atLeast"/>
        </w:trPr>
        <w:tc>
          <w:tcPr>
            <w:tcW w:w="2047" w:type="dxa"/>
            <w:vMerge w:val="restart"/>
            <w:vAlign w:val="center"/>
          </w:tcPr>
          <w:p>
            <w:pPr>
              <w:widowControl/>
              <w:jc w:val="center"/>
              <w:rPr>
                <w:rFonts w:eastAsia="仿宋_GB2312"/>
                <w:color w:val="000000"/>
                <w:kern w:val="0"/>
                <w:sz w:val="24"/>
              </w:rPr>
            </w:pPr>
            <w:r>
              <w:rPr>
                <w:rFonts w:eastAsia="仿宋_GB2312"/>
                <w:color w:val="000000"/>
                <w:kern w:val="0"/>
                <w:sz w:val="24"/>
              </w:rPr>
              <w:t>内容</w:t>
            </w:r>
          </w:p>
        </w:tc>
        <w:tc>
          <w:tcPr>
            <w:tcW w:w="6790" w:type="dxa"/>
            <w:gridSpan w:val="5"/>
            <w:vAlign w:val="center"/>
          </w:tcPr>
          <w:p>
            <w:pPr>
              <w:widowControl/>
              <w:jc w:val="center"/>
              <w:rPr>
                <w:rFonts w:eastAsia="仿宋_GB2312"/>
                <w:color w:val="000000"/>
                <w:kern w:val="0"/>
                <w:sz w:val="24"/>
              </w:rPr>
            </w:pPr>
            <w:r>
              <w:rPr>
                <w:rFonts w:hint="eastAsia" w:eastAsia="仿宋_GB2312"/>
                <w:color w:val="000000"/>
                <w:kern w:val="0"/>
                <w:sz w:val="24"/>
              </w:rPr>
              <w:t>年份</w:t>
            </w:r>
          </w:p>
        </w:tc>
      </w:tr>
      <w:tr>
        <w:trPr>
          <w:trHeight w:val="273" w:hRule="atLeast"/>
        </w:trPr>
        <w:tc>
          <w:tcPr>
            <w:tcW w:w="2047" w:type="dxa"/>
            <w:vMerge w:val="continue"/>
            <w:vAlign w:val="center"/>
          </w:tcPr>
          <w:p>
            <w:pPr>
              <w:widowControl/>
              <w:jc w:val="center"/>
              <w:rPr>
                <w:rFonts w:eastAsia="仿宋_GB2312"/>
                <w:color w:val="000000"/>
                <w:kern w:val="0"/>
                <w:sz w:val="24"/>
              </w:rPr>
            </w:pPr>
          </w:p>
        </w:tc>
        <w:tc>
          <w:tcPr>
            <w:tcW w:w="1358" w:type="dxa"/>
            <w:vAlign w:val="center"/>
          </w:tcPr>
          <w:p>
            <w:pPr>
              <w:widowControl/>
              <w:jc w:val="center"/>
              <w:rPr>
                <w:rFonts w:eastAsia="仿宋_GB2312"/>
                <w:color w:val="000000"/>
                <w:kern w:val="0"/>
                <w:sz w:val="24"/>
              </w:rPr>
            </w:pPr>
            <w:r>
              <w:rPr>
                <w:rFonts w:eastAsia="仿宋_GB2312"/>
                <w:color w:val="000000"/>
                <w:kern w:val="0"/>
                <w:sz w:val="24"/>
              </w:rPr>
              <w:t>2017年</w:t>
            </w:r>
          </w:p>
        </w:tc>
        <w:tc>
          <w:tcPr>
            <w:tcW w:w="1358" w:type="dxa"/>
            <w:vAlign w:val="center"/>
          </w:tcPr>
          <w:p>
            <w:pPr>
              <w:widowControl/>
              <w:jc w:val="center"/>
              <w:rPr>
                <w:rFonts w:eastAsia="仿宋_GB2312"/>
                <w:color w:val="000000"/>
                <w:kern w:val="0"/>
                <w:sz w:val="24"/>
              </w:rPr>
            </w:pPr>
            <w:r>
              <w:rPr>
                <w:rFonts w:eastAsia="仿宋_GB2312"/>
                <w:color w:val="000000"/>
                <w:kern w:val="0"/>
                <w:sz w:val="24"/>
              </w:rPr>
              <w:t>2018年</w:t>
            </w:r>
          </w:p>
        </w:tc>
        <w:tc>
          <w:tcPr>
            <w:tcW w:w="1358" w:type="dxa"/>
            <w:vAlign w:val="center"/>
          </w:tcPr>
          <w:p>
            <w:pPr>
              <w:widowControl/>
              <w:jc w:val="center"/>
              <w:rPr>
                <w:rFonts w:eastAsia="仿宋_GB2312"/>
                <w:color w:val="000000"/>
                <w:kern w:val="0"/>
                <w:sz w:val="24"/>
              </w:rPr>
            </w:pPr>
            <w:r>
              <w:rPr>
                <w:rFonts w:eastAsia="仿宋_GB2312"/>
                <w:color w:val="000000"/>
                <w:kern w:val="0"/>
                <w:sz w:val="24"/>
              </w:rPr>
              <w:t>2019年</w:t>
            </w:r>
          </w:p>
        </w:tc>
        <w:tc>
          <w:tcPr>
            <w:tcW w:w="1358" w:type="dxa"/>
            <w:vAlign w:val="center"/>
          </w:tcPr>
          <w:p>
            <w:pPr>
              <w:widowControl/>
              <w:jc w:val="center"/>
              <w:rPr>
                <w:rFonts w:eastAsia="仿宋_GB2312"/>
                <w:color w:val="000000"/>
                <w:kern w:val="0"/>
                <w:sz w:val="24"/>
              </w:rPr>
            </w:pPr>
            <w:r>
              <w:rPr>
                <w:rFonts w:eastAsia="仿宋_GB2312"/>
                <w:color w:val="000000"/>
                <w:kern w:val="0"/>
                <w:sz w:val="24"/>
              </w:rPr>
              <w:t>2020年</w:t>
            </w:r>
          </w:p>
        </w:tc>
        <w:tc>
          <w:tcPr>
            <w:tcW w:w="1358" w:type="dxa"/>
            <w:vAlign w:val="center"/>
          </w:tcPr>
          <w:p>
            <w:pPr>
              <w:widowControl/>
              <w:jc w:val="center"/>
              <w:rPr>
                <w:rFonts w:eastAsia="仿宋_GB2312"/>
                <w:color w:val="000000"/>
                <w:kern w:val="0"/>
                <w:sz w:val="24"/>
              </w:rPr>
            </w:pPr>
            <w:r>
              <w:rPr>
                <w:rFonts w:eastAsia="仿宋_GB2312"/>
                <w:color w:val="000000"/>
                <w:kern w:val="0"/>
                <w:sz w:val="24"/>
              </w:rPr>
              <w:t>2021年</w:t>
            </w:r>
          </w:p>
        </w:tc>
      </w:tr>
      <w:tr>
        <w:trPr>
          <w:trHeight w:val="835" w:hRule="atLeast"/>
        </w:trPr>
        <w:tc>
          <w:tcPr>
            <w:tcW w:w="2047" w:type="dxa"/>
            <w:vAlign w:val="center"/>
          </w:tcPr>
          <w:p>
            <w:pPr>
              <w:widowControl/>
              <w:jc w:val="left"/>
              <w:rPr>
                <w:rFonts w:eastAsia="仿宋_GB2312"/>
                <w:b/>
                <w:color w:val="000000"/>
                <w:kern w:val="0"/>
                <w:sz w:val="24"/>
              </w:rPr>
            </w:pPr>
            <w:r>
              <w:rPr>
                <w:rFonts w:eastAsia="仿宋_GB2312"/>
                <w:b/>
                <w:color w:val="000000"/>
                <w:kern w:val="0"/>
                <w:sz w:val="24"/>
              </w:rPr>
              <w:t>总量目标（亿平方米）</w:t>
            </w:r>
          </w:p>
        </w:tc>
        <w:tc>
          <w:tcPr>
            <w:tcW w:w="1358" w:type="dxa"/>
            <w:vAlign w:val="center"/>
          </w:tcPr>
          <w:p>
            <w:pPr>
              <w:widowControl/>
              <w:jc w:val="center"/>
              <w:rPr>
                <w:rFonts w:eastAsia="仿宋_GB2312"/>
                <w:color w:val="000000"/>
                <w:kern w:val="0"/>
                <w:sz w:val="24"/>
              </w:rPr>
            </w:pPr>
          </w:p>
        </w:tc>
        <w:tc>
          <w:tcPr>
            <w:tcW w:w="1358" w:type="dxa"/>
            <w:vAlign w:val="center"/>
          </w:tcPr>
          <w:p>
            <w:pPr>
              <w:widowControl/>
              <w:jc w:val="center"/>
              <w:rPr>
                <w:rFonts w:eastAsia="仿宋_GB2312"/>
                <w:color w:val="000000"/>
                <w:kern w:val="0"/>
                <w:sz w:val="24"/>
              </w:rPr>
            </w:pPr>
          </w:p>
        </w:tc>
        <w:tc>
          <w:tcPr>
            <w:tcW w:w="1358" w:type="dxa"/>
            <w:vAlign w:val="center"/>
          </w:tcPr>
          <w:p>
            <w:pPr>
              <w:widowControl/>
              <w:jc w:val="center"/>
              <w:rPr>
                <w:rFonts w:eastAsia="仿宋_GB2312"/>
                <w:color w:val="000000"/>
                <w:kern w:val="0"/>
                <w:sz w:val="24"/>
              </w:rPr>
            </w:pPr>
          </w:p>
        </w:tc>
        <w:tc>
          <w:tcPr>
            <w:tcW w:w="1358" w:type="dxa"/>
            <w:vAlign w:val="center"/>
          </w:tcPr>
          <w:p>
            <w:pPr>
              <w:widowControl/>
              <w:jc w:val="center"/>
              <w:rPr>
                <w:rFonts w:eastAsia="仿宋_GB2312"/>
                <w:color w:val="000000"/>
                <w:kern w:val="0"/>
                <w:sz w:val="24"/>
              </w:rPr>
            </w:pPr>
          </w:p>
        </w:tc>
        <w:tc>
          <w:tcPr>
            <w:tcW w:w="1358" w:type="dxa"/>
            <w:vAlign w:val="center"/>
          </w:tcPr>
          <w:p>
            <w:pPr>
              <w:widowControl/>
              <w:jc w:val="center"/>
              <w:rPr>
                <w:rFonts w:eastAsia="仿宋_GB2312"/>
                <w:color w:val="000000"/>
                <w:kern w:val="0"/>
                <w:sz w:val="24"/>
              </w:rPr>
            </w:pPr>
          </w:p>
        </w:tc>
      </w:tr>
      <w:tr>
        <w:trPr>
          <w:trHeight w:val="317"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地热能</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317"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生物质能</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561"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可再生能源</w:t>
            </w:r>
          </w:p>
          <w:p>
            <w:pPr>
              <w:widowControl/>
              <w:jc w:val="right"/>
              <w:rPr>
                <w:rFonts w:eastAsia="楷体_GB2312"/>
                <w:color w:val="000000"/>
                <w:kern w:val="0"/>
                <w:szCs w:val="21"/>
              </w:rPr>
            </w:pPr>
            <w:r>
              <w:rPr>
                <w:rFonts w:eastAsia="楷体_GB2312"/>
                <w:color w:val="000000"/>
                <w:kern w:val="0"/>
                <w:szCs w:val="21"/>
              </w:rPr>
              <w:t>电力</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561"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太阳能</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317"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空气源等其他类型</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317"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农村地区</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835" w:hRule="atLeast"/>
        </w:trPr>
        <w:tc>
          <w:tcPr>
            <w:tcW w:w="2047" w:type="dxa"/>
            <w:vAlign w:val="center"/>
          </w:tcPr>
          <w:p>
            <w:pPr>
              <w:widowControl/>
              <w:jc w:val="left"/>
              <w:rPr>
                <w:rFonts w:eastAsia="仿宋_GB2312"/>
                <w:b/>
                <w:color w:val="000000"/>
                <w:kern w:val="0"/>
                <w:sz w:val="24"/>
              </w:rPr>
            </w:pPr>
            <w:r>
              <w:rPr>
                <w:rFonts w:eastAsia="仿宋_GB2312"/>
                <w:b/>
                <w:color w:val="000000"/>
                <w:kern w:val="0"/>
                <w:sz w:val="24"/>
              </w:rPr>
              <w:t>可再生能源供热占比（%）</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821"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占城镇区域供热面积比例</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r>
        <w:trPr>
          <w:trHeight w:val="821" w:hRule="atLeast"/>
        </w:trPr>
        <w:tc>
          <w:tcPr>
            <w:tcW w:w="2047" w:type="dxa"/>
            <w:vAlign w:val="center"/>
          </w:tcPr>
          <w:p>
            <w:pPr>
              <w:widowControl/>
              <w:jc w:val="right"/>
              <w:rPr>
                <w:rFonts w:eastAsia="楷体_GB2312"/>
                <w:color w:val="000000"/>
                <w:kern w:val="0"/>
                <w:szCs w:val="21"/>
              </w:rPr>
            </w:pPr>
            <w:r>
              <w:rPr>
                <w:rFonts w:eastAsia="楷体_GB2312"/>
                <w:color w:val="000000"/>
                <w:kern w:val="0"/>
                <w:szCs w:val="21"/>
              </w:rPr>
              <w:t>占农村地区供热面积比例</w:t>
            </w: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c>
          <w:tcPr>
            <w:tcW w:w="1358" w:type="dxa"/>
            <w:vAlign w:val="center"/>
          </w:tcPr>
          <w:p>
            <w:pPr>
              <w:widowControl/>
              <w:jc w:val="center"/>
              <w:rPr>
                <w:color w:val="000000"/>
                <w:kern w:val="0"/>
                <w:sz w:val="24"/>
              </w:rPr>
            </w:pPr>
          </w:p>
        </w:tc>
      </w:tr>
    </w:tbl>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p>
    <w:p>
      <w:pPr>
        <w:snapToGrid w:val="0"/>
        <w:spacing w:line="620" w:lineRule="exact"/>
        <w:ind w:firstLine="562" w:firstLineChars="200"/>
        <w:jc w:val="center"/>
        <w:rPr>
          <w:rFonts w:ascii="楷体_GB2312" w:eastAsia="楷体_GB2312"/>
          <w:b/>
          <w:sz w:val="28"/>
          <w:szCs w:val="28"/>
        </w:rPr>
      </w:pPr>
      <w:r>
        <w:rPr>
          <w:rFonts w:hint="eastAsia" w:ascii="楷体_GB2312" w:eastAsia="楷体_GB2312"/>
          <w:b/>
          <w:sz w:val="28"/>
          <w:szCs w:val="28"/>
        </w:rPr>
        <w:t>1-2 重点地市可再生能源清洁取暖任务</w:t>
      </w:r>
    </w:p>
    <w:tbl>
      <w:tblPr>
        <w:tblW w:w="839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4"/>
        <w:gridCol w:w="1291"/>
        <w:gridCol w:w="1291"/>
        <w:gridCol w:w="1291"/>
        <w:gridCol w:w="1291"/>
        <w:gridCol w:w="1291"/>
      </w:tblGrid>
      <w:tr>
        <w:trPr>
          <w:trHeight w:val="322" w:hRule="atLeast"/>
        </w:trPr>
        <w:tc>
          <w:tcPr>
            <w:tcW w:w="1944" w:type="dxa"/>
            <w:vMerge w:val="restart"/>
            <w:vAlign w:val="center"/>
          </w:tcPr>
          <w:p>
            <w:pPr>
              <w:widowControl/>
              <w:jc w:val="center"/>
              <w:rPr>
                <w:rFonts w:eastAsia="仿宋_GB2312"/>
                <w:color w:val="000000"/>
                <w:kern w:val="0"/>
                <w:sz w:val="24"/>
              </w:rPr>
            </w:pPr>
            <w:r>
              <w:rPr>
                <w:rFonts w:eastAsia="仿宋_GB2312"/>
                <w:color w:val="000000"/>
                <w:kern w:val="0"/>
                <w:sz w:val="24"/>
              </w:rPr>
              <w:t>内容</w:t>
            </w:r>
          </w:p>
        </w:tc>
        <w:tc>
          <w:tcPr>
            <w:tcW w:w="6455" w:type="dxa"/>
            <w:gridSpan w:val="5"/>
            <w:vAlign w:val="center"/>
          </w:tcPr>
          <w:p>
            <w:pPr>
              <w:widowControl/>
              <w:jc w:val="center"/>
              <w:rPr>
                <w:color w:val="000000"/>
                <w:kern w:val="0"/>
                <w:sz w:val="24"/>
              </w:rPr>
            </w:pPr>
            <w:r>
              <w:rPr>
                <w:rFonts w:hint="eastAsia" w:eastAsia="仿宋_GB2312"/>
                <w:color w:val="000000"/>
                <w:kern w:val="0"/>
                <w:sz w:val="24"/>
              </w:rPr>
              <w:t>年份</w:t>
            </w:r>
          </w:p>
        </w:tc>
      </w:tr>
      <w:tr>
        <w:trPr>
          <w:trHeight w:val="278" w:hRule="atLeast"/>
        </w:trPr>
        <w:tc>
          <w:tcPr>
            <w:tcW w:w="1944" w:type="dxa"/>
            <w:vMerge w:val="continue"/>
            <w:vAlign w:val="center"/>
          </w:tcPr>
          <w:p>
            <w:pPr>
              <w:widowControl/>
              <w:jc w:val="center"/>
              <w:rPr>
                <w:rFonts w:eastAsia="仿宋_GB2312"/>
                <w:color w:val="000000"/>
                <w:kern w:val="0"/>
                <w:sz w:val="24"/>
              </w:rPr>
            </w:pPr>
          </w:p>
        </w:tc>
        <w:tc>
          <w:tcPr>
            <w:tcW w:w="1291" w:type="dxa"/>
            <w:vAlign w:val="center"/>
          </w:tcPr>
          <w:p>
            <w:pPr>
              <w:widowControl/>
              <w:jc w:val="center"/>
              <w:rPr>
                <w:rFonts w:eastAsia="仿宋_GB2312"/>
                <w:color w:val="000000"/>
                <w:kern w:val="0"/>
                <w:sz w:val="24"/>
              </w:rPr>
            </w:pPr>
            <w:r>
              <w:rPr>
                <w:rFonts w:eastAsia="仿宋_GB2312"/>
                <w:color w:val="000000"/>
                <w:kern w:val="0"/>
                <w:sz w:val="24"/>
              </w:rPr>
              <w:t>2017年</w:t>
            </w:r>
          </w:p>
        </w:tc>
        <w:tc>
          <w:tcPr>
            <w:tcW w:w="1291" w:type="dxa"/>
            <w:vAlign w:val="center"/>
          </w:tcPr>
          <w:p>
            <w:pPr>
              <w:widowControl/>
              <w:jc w:val="center"/>
              <w:rPr>
                <w:rFonts w:eastAsia="仿宋_GB2312"/>
                <w:color w:val="000000"/>
                <w:kern w:val="0"/>
                <w:sz w:val="24"/>
              </w:rPr>
            </w:pPr>
            <w:r>
              <w:rPr>
                <w:rFonts w:eastAsia="仿宋_GB2312"/>
                <w:color w:val="000000"/>
                <w:kern w:val="0"/>
                <w:sz w:val="24"/>
              </w:rPr>
              <w:t>2018年</w:t>
            </w:r>
          </w:p>
        </w:tc>
        <w:tc>
          <w:tcPr>
            <w:tcW w:w="1291" w:type="dxa"/>
            <w:vAlign w:val="center"/>
          </w:tcPr>
          <w:p>
            <w:pPr>
              <w:widowControl/>
              <w:jc w:val="center"/>
              <w:rPr>
                <w:rFonts w:eastAsia="仿宋_GB2312"/>
                <w:color w:val="000000"/>
                <w:kern w:val="0"/>
                <w:sz w:val="24"/>
              </w:rPr>
            </w:pPr>
            <w:r>
              <w:rPr>
                <w:rFonts w:eastAsia="仿宋_GB2312"/>
                <w:color w:val="000000"/>
                <w:kern w:val="0"/>
                <w:sz w:val="24"/>
              </w:rPr>
              <w:t>2019年</w:t>
            </w:r>
          </w:p>
        </w:tc>
        <w:tc>
          <w:tcPr>
            <w:tcW w:w="1291" w:type="dxa"/>
            <w:vAlign w:val="center"/>
          </w:tcPr>
          <w:p>
            <w:pPr>
              <w:widowControl/>
              <w:jc w:val="center"/>
              <w:rPr>
                <w:rFonts w:eastAsia="仿宋_GB2312"/>
                <w:color w:val="000000"/>
                <w:kern w:val="0"/>
                <w:sz w:val="24"/>
              </w:rPr>
            </w:pPr>
            <w:r>
              <w:rPr>
                <w:rFonts w:eastAsia="仿宋_GB2312"/>
                <w:color w:val="000000"/>
                <w:kern w:val="0"/>
                <w:sz w:val="24"/>
              </w:rPr>
              <w:t>2020年</w:t>
            </w:r>
          </w:p>
        </w:tc>
        <w:tc>
          <w:tcPr>
            <w:tcW w:w="1291" w:type="dxa"/>
            <w:vAlign w:val="center"/>
          </w:tcPr>
          <w:p>
            <w:pPr>
              <w:widowControl/>
              <w:jc w:val="center"/>
              <w:rPr>
                <w:rFonts w:eastAsia="仿宋_GB2312"/>
                <w:color w:val="000000"/>
                <w:kern w:val="0"/>
                <w:sz w:val="24"/>
              </w:rPr>
            </w:pPr>
            <w:r>
              <w:rPr>
                <w:rFonts w:eastAsia="仿宋_GB2312"/>
                <w:color w:val="000000"/>
                <w:kern w:val="0"/>
                <w:sz w:val="24"/>
              </w:rPr>
              <w:t>2021年</w:t>
            </w:r>
          </w:p>
        </w:tc>
      </w:tr>
      <w:tr>
        <w:trPr>
          <w:trHeight w:val="278" w:hRule="atLeast"/>
        </w:trPr>
        <w:tc>
          <w:tcPr>
            <w:tcW w:w="1944" w:type="dxa"/>
            <w:vAlign w:val="center"/>
          </w:tcPr>
          <w:p>
            <w:pPr>
              <w:widowControl/>
              <w:jc w:val="left"/>
              <w:rPr>
                <w:rFonts w:eastAsia="仿宋_GB2312"/>
                <w:color w:val="000000"/>
                <w:kern w:val="0"/>
                <w:sz w:val="24"/>
              </w:rPr>
            </w:pPr>
            <w:r>
              <w:rPr>
                <w:rFonts w:hint="eastAsia" w:eastAsia="仿宋_GB2312"/>
                <w:color w:val="000000"/>
                <w:kern w:val="0"/>
                <w:sz w:val="24"/>
              </w:rPr>
              <w:t>一、XXX市</w:t>
            </w:r>
          </w:p>
        </w:tc>
        <w:tc>
          <w:tcPr>
            <w:tcW w:w="1291" w:type="dxa"/>
            <w:vAlign w:val="center"/>
          </w:tcPr>
          <w:p>
            <w:pPr>
              <w:widowControl/>
              <w:jc w:val="center"/>
              <w:rPr>
                <w:rFonts w:eastAsia="仿宋_GB2312"/>
                <w:color w:val="000000"/>
                <w:kern w:val="0"/>
                <w:sz w:val="24"/>
              </w:rPr>
            </w:pPr>
          </w:p>
        </w:tc>
        <w:tc>
          <w:tcPr>
            <w:tcW w:w="1291" w:type="dxa"/>
            <w:vAlign w:val="center"/>
          </w:tcPr>
          <w:p>
            <w:pPr>
              <w:widowControl/>
              <w:jc w:val="center"/>
              <w:rPr>
                <w:rFonts w:eastAsia="仿宋_GB2312"/>
                <w:color w:val="000000"/>
                <w:kern w:val="0"/>
                <w:sz w:val="24"/>
              </w:rPr>
            </w:pPr>
          </w:p>
        </w:tc>
        <w:tc>
          <w:tcPr>
            <w:tcW w:w="1291" w:type="dxa"/>
            <w:vAlign w:val="center"/>
          </w:tcPr>
          <w:p>
            <w:pPr>
              <w:widowControl/>
              <w:jc w:val="center"/>
              <w:rPr>
                <w:rFonts w:eastAsia="仿宋_GB2312"/>
                <w:color w:val="000000"/>
                <w:kern w:val="0"/>
                <w:sz w:val="24"/>
              </w:rPr>
            </w:pPr>
          </w:p>
        </w:tc>
        <w:tc>
          <w:tcPr>
            <w:tcW w:w="1291" w:type="dxa"/>
            <w:vAlign w:val="center"/>
          </w:tcPr>
          <w:p>
            <w:pPr>
              <w:widowControl/>
              <w:jc w:val="center"/>
              <w:rPr>
                <w:rFonts w:eastAsia="仿宋_GB2312"/>
                <w:color w:val="000000"/>
                <w:kern w:val="0"/>
                <w:sz w:val="24"/>
              </w:rPr>
            </w:pPr>
          </w:p>
        </w:tc>
        <w:tc>
          <w:tcPr>
            <w:tcW w:w="1291" w:type="dxa"/>
            <w:vAlign w:val="center"/>
          </w:tcPr>
          <w:p>
            <w:pPr>
              <w:widowControl/>
              <w:jc w:val="center"/>
              <w:rPr>
                <w:rFonts w:eastAsia="仿宋_GB2312"/>
                <w:color w:val="000000"/>
                <w:kern w:val="0"/>
                <w:sz w:val="24"/>
              </w:rPr>
            </w:pPr>
          </w:p>
        </w:tc>
      </w:tr>
      <w:tr>
        <w:trPr>
          <w:trHeight w:val="848" w:hRule="atLeast"/>
        </w:trPr>
        <w:tc>
          <w:tcPr>
            <w:tcW w:w="1944" w:type="dxa"/>
            <w:vAlign w:val="center"/>
          </w:tcPr>
          <w:p>
            <w:pPr>
              <w:widowControl/>
              <w:jc w:val="left"/>
              <w:rPr>
                <w:rFonts w:eastAsia="仿宋_GB2312"/>
                <w:b/>
                <w:color w:val="000000"/>
                <w:kern w:val="0"/>
                <w:sz w:val="24"/>
              </w:rPr>
            </w:pPr>
            <w:r>
              <w:rPr>
                <w:rFonts w:eastAsia="仿宋_GB2312"/>
                <w:b/>
                <w:color w:val="000000"/>
                <w:kern w:val="0"/>
                <w:sz w:val="24"/>
              </w:rPr>
              <w:t>总量目标（亿平方米）</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322"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地热能</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322"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生物质能</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570"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可再生能源</w:t>
            </w:r>
          </w:p>
          <w:p>
            <w:pPr>
              <w:widowControl/>
              <w:jc w:val="right"/>
              <w:rPr>
                <w:rFonts w:eastAsia="楷体_GB2312"/>
                <w:color w:val="000000"/>
                <w:kern w:val="0"/>
                <w:szCs w:val="21"/>
              </w:rPr>
            </w:pPr>
            <w:r>
              <w:rPr>
                <w:rFonts w:eastAsia="楷体_GB2312"/>
                <w:color w:val="000000"/>
                <w:kern w:val="0"/>
                <w:szCs w:val="21"/>
              </w:rPr>
              <w:t>电力</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570"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太阳能</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322"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空气源等其他类型</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322"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农村地区</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848" w:hRule="atLeast"/>
        </w:trPr>
        <w:tc>
          <w:tcPr>
            <w:tcW w:w="1944" w:type="dxa"/>
            <w:vAlign w:val="center"/>
          </w:tcPr>
          <w:p>
            <w:pPr>
              <w:widowControl/>
              <w:jc w:val="left"/>
              <w:rPr>
                <w:rFonts w:eastAsia="仿宋_GB2312"/>
                <w:b/>
                <w:color w:val="000000"/>
                <w:kern w:val="0"/>
                <w:sz w:val="24"/>
              </w:rPr>
            </w:pPr>
            <w:r>
              <w:rPr>
                <w:rFonts w:eastAsia="仿宋_GB2312"/>
                <w:b/>
                <w:color w:val="000000"/>
                <w:kern w:val="0"/>
                <w:sz w:val="24"/>
              </w:rPr>
              <w:t>可再生能源供热占比（%）</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833"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占城镇区域供热面积比例</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833" w:hRule="atLeast"/>
        </w:trPr>
        <w:tc>
          <w:tcPr>
            <w:tcW w:w="1944" w:type="dxa"/>
            <w:vAlign w:val="center"/>
          </w:tcPr>
          <w:p>
            <w:pPr>
              <w:widowControl/>
              <w:jc w:val="right"/>
              <w:rPr>
                <w:rFonts w:eastAsia="楷体_GB2312"/>
                <w:color w:val="000000"/>
                <w:kern w:val="0"/>
                <w:szCs w:val="21"/>
              </w:rPr>
            </w:pPr>
            <w:r>
              <w:rPr>
                <w:rFonts w:eastAsia="楷体_GB2312"/>
                <w:color w:val="000000"/>
                <w:kern w:val="0"/>
                <w:szCs w:val="21"/>
              </w:rPr>
              <w:t>占农村地区供热面积比例</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833" w:hRule="atLeast"/>
        </w:trPr>
        <w:tc>
          <w:tcPr>
            <w:tcW w:w="1944" w:type="dxa"/>
            <w:vAlign w:val="center"/>
          </w:tcPr>
          <w:p>
            <w:pPr>
              <w:widowControl/>
              <w:jc w:val="left"/>
              <w:rPr>
                <w:rFonts w:eastAsia="楷体_GB2312"/>
                <w:color w:val="000000"/>
                <w:kern w:val="0"/>
                <w:szCs w:val="21"/>
              </w:rPr>
            </w:pPr>
            <w:r>
              <w:rPr>
                <w:rFonts w:hint="eastAsia" w:eastAsia="仿宋_GB2312"/>
                <w:color w:val="000000"/>
                <w:kern w:val="0"/>
                <w:sz w:val="24"/>
              </w:rPr>
              <w:t>二、XXX市</w:t>
            </w: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r>
        <w:trPr>
          <w:trHeight w:val="833" w:hRule="atLeast"/>
        </w:trPr>
        <w:tc>
          <w:tcPr>
            <w:tcW w:w="1944" w:type="dxa"/>
            <w:vAlign w:val="center"/>
          </w:tcPr>
          <w:p>
            <w:pPr>
              <w:widowControl/>
              <w:jc w:val="right"/>
              <w:rPr>
                <w:rFonts w:eastAsia="楷体_GB2312"/>
                <w:color w:val="000000"/>
                <w:kern w:val="0"/>
                <w:szCs w:val="21"/>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c>
          <w:tcPr>
            <w:tcW w:w="1291" w:type="dxa"/>
            <w:vAlign w:val="center"/>
          </w:tcPr>
          <w:p>
            <w:pPr>
              <w:widowControl/>
              <w:jc w:val="center"/>
              <w:rPr>
                <w:color w:val="000000"/>
                <w:kern w:val="0"/>
                <w:sz w:val="24"/>
              </w:rPr>
            </w:pPr>
          </w:p>
        </w:tc>
      </w:tr>
    </w:tbl>
    <w:p>
      <w:pPr>
        <w:widowControl/>
        <w:spacing w:line="360" w:lineRule="auto"/>
        <w:ind w:firstLine="640" w:firstLineChars="200"/>
        <w:rPr>
          <w:rFonts w:eastAsia="仿宋_GB2312"/>
          <w:sz w:val="32"/>
          <w:szCs w:val="32"/>
        </w:rPr>
      </w:pPr>
    </w:p>
    <w:p>
      <w:pPr>
        <w:widowControl/>
        <w:spacing w:line="360" w:lineRule="auto"/>
        <w:rPr>
          <w:rFonts w:eastAsia="仿宋_GB2312"/>
          <w:sz w:val="32"/>
          <w:szCs w:val="32"/>
        </w:rPr>
      </w:pPr>
      <w:r>
        <w:rPr>
          <w:rFonts w:eastAsia="仿宋_GB2312"/>
          <w:sz w:val="32"/>
          <w:szCs w:val="32"/>
        </w:rPr>
        <w:br w:type="page"/>
      </w:r>
      <w:r>
        <w:rPr>
          <w:rFonts w:hint="eastAsia" w:eastAsia="仿宋_GB2312"/>
          <w:sz w:val="32"/>
          <w:szCs w:val="32"/>
        </w:rPr>
        <w:t>附件</w:t>
      </w:r>
      <w:r>
        <w:rPr>
          <w:rFonts w:eastAsia="仿宋_GB2312"/>
          <w:sz w:val="32"/>
          <w:szCs w:val="32"/>
        </w:rPr>
        <w:t>2</w:t>
      </w:r>
    </w:p>
    <w:p>
      <w:pPr>
        <w:snapToGrid w:val="0"/>
        <w:spacing w:line="620" w:lineRule="exact"/>
        <w:jc w:val="center"/>
        <w:outlineLvl w:val="0"/>
        <w:rPr>
          <w:rFonts w:eastAsia="仿宋_GB2312"/>
          <w:sz w:val="32"/>
          <w:szCs w:val="32"/>
        </w:rPr>
      </w:pPr>
      <w:r>
        <w:rPr>
          <w:rFonts w:eastAsia="仿宋_GB2312"/>
          <w:sz w:val="32"/>
          <w:szCs w:val="32"/>
        </w:rPr>
        <w:t>2017年可再生能源清洁取暖重点工程</w:t>
      </w:r>
    </w:p>
    <w:p>
      <w:pPr>
        <w:snapToGrid w:val="0"/>
        <w:spacing w:line="620" w:lineRule="exact"/>
        <w:rPr>
          <w:rFonts w:eastAsia="仿宋_GB2312"/>
          <w:sz w:val="32"/>
          <w:szCs w:val="32"/>
        </w:rPr>
      </w:pPr>
      <w:r>
        <w:rPr>
          <w:rFonts w:eastAsia="仿宋_GB2312"/>
          <w:sz w:val="32"/>
          <w:szCs w:val="32"/>
        </w:rPr>
        <w:t xml:space="preserve">                  （细化到地级市区域）</w:t>
      </w:r>
    </w:p>
    <w:p/>
    <w:tbl>
      <w:tblPr>
        <w:tblW w:w="898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73"/>
        <w:gridCol w:w="795"/>
        <w:gridCol w:w="709"/>
        <w:gridCol w:w="1276"/>
        <w:gridCol w:w="850"/>
        <w:gridCol w:w="1167"/>
        <w:gridCol w:w="1435"/>
        <w:gridCol w:w="1276"/>
      </w:tblGrid>
      <w:tr>
        <w:tc>
          <w:tcPr>
            <w:tcW w:w="1473" w:type="dxa"/>
            <w:vMerge w:val="restart"/>
            <w:vAlign w:val="center"/>
          </w:tcPr>
          <w:p>
            <w:pPr>
              <w:widowControl/>
              <w:spacing w:line="360" w:lineRule="auto"/>
              <w:jc w:val="center"/>
              <w:rPr>
                <w:rFonts w:eastAsia="仿宋_GB2312"/>
                <w:sz w:val="24"/>
              </w:rPr>
            </w:pPr>
            <w:r>
              <w:rPr>
                <w:rFonts w:eastAsia="仿宋_GB2312"/>
                <w:sz w:val="24"/>
              </w:rPr>
              <w:t>内容</w:t>
            </w:r>
          </w:p>
        </w:tc>
        <w:tc>
          <w:tcPr>
            <w:tcW w:w="4797" w:type="dxa"/>
            <w:gridSpan w:val="5"/>
            <w:vAlign w:val="center"/>
          </w:tcPr>
          <w:p>
            <w:pPr>
              <w:widowControl/>
              <w:spacing w:line="360" w:lineRule="auto"/>
              <w:jc w:val="center"/>
              <w:rPr>
                <w:rFonts w:eastAsia="仿宋_GB2312"/>
                <w:sz w:val="24"/>
              </w:rPr>
            </w:pPr>
            <w:r>
              <w:rPr>
                <w:rFonts w:eastAsia="仿宋_GB2312"/>
                <w:sz w:val="24"/>
              </w:rPr>
              <w:t>项目情况</w:t>
            </w:r>
          </w:p>
        </w:tc>
        <w:tc>
          <w:tcPr>
            <w:tcW w:w="1435" w:type="dxa"/>
            <w:vAlign w:val="center"/>
          </w:tcPr>
          <w:p>
            <w:pPr>
              <w:widowControl/>
              <w:spacing w:line="360" w:lineRule="auto"/>
              <w:jc w:val="center"/>
              <w:rPr>
                <w:rFonts w:eastAsia="仿宋_GB2312"/>
                <w:sz w:val="24"/>
              </w:rPr>
            </w:pPr>
            <w:r>
              <w:rPr>
                <w:rFonts w:eastAsia="仿宋_GB2312"/>
                <w:sz w:val="24"/>
              </w:rPr>
              <w:t>供暖面积（万平方米）</w:t>
            </w:r>
          </w:p>
        </w:tc>
        <w:tc>
          <w:tcPr>
            <w:tcW w:w="1276" w:type="dxa"/>
            <w:vAlign w:val="center"/>
          </w:tcPr>
          <w:p>
            <w:pPr>
              <w:widowControl/>
              <w:spacing w:line="360" w:lineRule="auto"/>
              <w:jc w:val="center"/>
              <w:rPr>
                <w:rFonts w:eastAsia="仿宋_GB2312"/>
                <w:sz w:val="24"/>
              </w:rPr>
            </w:pPr>
            <w:r>
              <w:rPr>
                <w:rFonts w:eastAsia="仿宋_GB2312"/>
                <w:sz w:val="24"/>
              </w:rPr>
              <w:t>折标煤（万吨/年）</w:t>
            </w:r>
          </w:p>
        </w:tc>
      </w:tr>
      <w:tr>
        <w:tc>
          <w:tcPr>
            <w:tcW w:w="1473" w:type="dxa"/>
            <w:vMerge w:val="continue"/>
            <w:vAlign w:val="center"/>
          </w:tcPr>
          <w:p>
            <w:pPr>
              <w:widowControl/>
              <w:spacing w:line="360" w:lineRule="auto"/>
              <w:jc w:val="center"/>
              <w:rPr>
                <w:rFonts w:eastAsia="仿宋_GB2312"/>
                <w:sz w:val="24"/>
              </w:rPr>
            </w:pPr>
          </w:p>
        </w:tc>
        <w:tc>
          <w:tcPr>
            <w:tcW w:w="795" w:type="dxa"/>
            <w:vAlign w:val="center"/>
          </w:tcPr>
          <w:p>
            <w:pPr>
              <w:widowControl/>
              <w:spacing w:line="360" w:lineRule="auto"/>
              <w:jc w:val="center"/>
              <w:rPr>
                <w:rFonts w:eastAsia="仿宋_GB2312"/>
                <w:sz w:val="24"/>
              </w:rPr>
            </w:pPr>
            <w:r>
              <w:rPr>
                <w:rFonts w:eastAsia="仿宋_GB2312"/>
                <w:sz w:val="24"/>
              </w:rPr>
              <w:t>项目名称</w:t>
            </w:r>
          </w:p>
        </w:tc>
        <w:tc>
          <w:tcPr>
            <w:tcW w:w="709" w:type="dxa"/>
            <w:vAlign w:val="center"/>
          </w:tcPr>
          <w:p>
            <w:pPr>
              <w:widowControl/>
              <w:spacing w:line="360" w:lineRule="auto"/>
              <w:rPr>
                <w:rFonts w:eastAsia="仿宋_GB2312"/>
                <w:sz w:val="24"/>
              </w:rPr>
            </w:pPr>
            <w:r>
              <w:rPr>
                <w:rFonts w:eastAsia="仿宋_GB2312"/>
                <w:sz w:val="24"/>
              </w:rPr>
              <w:t>所在地区</w:t>
            </w:r>
          </w:p>
        </w:tc>
        <w:tc>
          <w:tcPr>
            <w:tcW w:w="1276" w:type="dxa"/>
            <w:vAlign w:val="center"/>
          </w:tcPr>
          <w:p>
            <w:pPr>
              <w:widowControl/>
              <w:spacing w:line="360" w:lineRule="auto"/>
              <w:jc w:val="center"/>
              <w:rPr>
                <w:rFonts w:eastAsia="仿宋_GB2312"/>
                <w:sz w:val="24"/>
              </w:rPr>
            </w:pPr>
            <w:r>
              <w:rPr>
                <w:rFonts w:eastAsia="仿宋_GB2312"/>
                <w:sz w:val="24"/>
              </w:rPr>
              <w:t>项目规模</w:t>
            </w:r>
          </w:p>
          <w:p>
            <w:pPr>
              <w:widowControl/>
              <w:spacing w:line="360" w:lineRule="auto"/>
              <w:jc w:val="center"/>
              <w:rPr>
                <w:rFonts w:eastAsia="仿宋_GB2312"/>
                <w:sz w:val="24"/>
              </w:rPr>
            </w:pPr>
            <w:r>
              <w:rPr>
                <w:rFonts w:eastAsia="仿宋_GB2312"/>
                <w:sz w:val="24"/>
              </w:rPr>
              <w:t>（装机等）</w:t>
            </w:r>
          </w:p>
        </w:tc>
        <w:tc>
          <w:tcPr>
            <w:tcW w:w="850" w:type="dxa"/>
            <w:vAlign w:val="center"/>
          </w:tcPr>
          <w:p>
            <w:pPr>
              <w:widowControl/>
              <w:spacing w:line="360" w:lineRule="auto"/>
              <w:jc w:val="center"/>
              <w:rPr>
                <w:rFonts w:eastAsia="仿宋_GB2312"/>
                <w:sz w:val="24"/>
              </w:rPr>
            </w:pPr>
            <w:r>
              <w:rPr>
                <w:rFonts w:eastAsia="仿宋_GB2312"/>
                <w:sz w:val="24"/>
              </w:rPr>
              <w:t>总投资（亿元）</w:t>
            </w:r>
          </w:p>
        </w:tc>
        <w:tc>
          <w:tcPr>
            <w:tcW w:w="1167" w:type="dxa"/>
            <w:vAlign w:val="center"/>
          </w:tcPr>
          <w:p>
            <w:pPr>
              <w:widowControl/>
              <w:spacing w:line="360" w:lineRule="auto"/>
              <w:jc w:val="center"/>
              <w:rPr>
                <w:rFonts w:eastAsia="仿宋_GB2312"/>
                <w:sz w:val="24"/>
              </w:rPr>
            </w:pPr>
            <w:r>
              <w:rPr>
                <w:rFonts w:eastAsia="仿宋_GB2312"/>
                <w:sz w:val="24"/>
              </w:rPr>
              <w:t>运行费用（元/m2）</w:t>
            </w: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地热能</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生物质能</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可再生能源电力</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太阳能</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空气源等其他类型</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r>
        <w:tc>
          <w:tcPr>
            <w:tcW w:w="1473" w:type="dxa"/>
            <w:vAlign w:val="center"/>
          </w:tcPr>
          <w:p>
            <w:pPr>
              <w:widowControl/>
              <w:spacing w:line="360" w:lineRule="auto"/>
              <w:jc w:val="center"/>
              <w:rPr>
                <w:rFonts w:eastAsia="仿宋_GB2312"/>
                <w:sz w:val="24"/>
              </w:rPr>
            </w:pPr>
            <w:r>
              <w:rPr>
                <w:rFonts w:eastAsia="仿宋_GB2312"/>
                <w:sz w:val="24"/>
              </w:rPr>
              <w:t>农村地区</w:t>
            </w:r>
          </w:p>
        </w:tc>
        <w:tc>
          <w:tcPr>
            <w:tcW w:w="795" w:type="dxa"/>
            <w:vAlign w:val="center"/>
          </w:tcPr>
          <w:p>
            <w:pPr>
              <w:widowControl/>
              <w:spacing w:line="360" w:lineRule="auto"/>
              <w:jc w:val="center"/>
              <w:rPr>
                <w:rFonts w:eastAsia="仿宋_GB2312"/>
                <w:sz w:val="24"/>
              </w:rPr>
            </w:pPr>
          </w:p>
        </w:tc>
        <w:tc>
          <w:tcPr>
            <w:tcW w:w="709"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c>
          <w:tcPr>
            <w:tcW w:w="850" w:type="dxa"/>
            <w:vAlign w:val="center"/>
          </w:tcPr>
          <w:p>
            <w:pPr>
              <w:widowControl/>
              <w:spacing w:line="360" w:lineRule="auto"/>
              <w:jc w:val="center"/>
              <w:rPr>
                <w:rFonts w:eastAsia="仿宋_GB2312"/>
                <w:sz w:val="24"/>
              </w:rPr>
            </w:pPr>
          </w:p>
        </w:tc>
        <w:tc>
          <w:tcPr>
            <w:tcW w:w="1167" w:type="dxa"/>
            <w:vAlign w:val="center"/>
          </w:tcPr>
          <w:p>
            <w:pPr>
              <w:widowControl/>
              <w:spacing w:line="360" w:lineRule="auto"/>
              <w:jc w:val="center"/>
              <w:rPr>
                <w:rFonts w:eastAsia="仿宋_GB2312"/>
                <w:sz w:val="24"/>
              </w:rPr>
            </w:pPr>
          </w:p>
        </w:tc>
        <w:tc>
          <w:tcPr>
            <w:tcW w:w="1435" w:type="dxa"/>
            <w:vAlign w:val="center"/>
          </w:tcPr>
          <w:p>
            <w:pPr>
              <w:widowControl/>
              <w:spacing w:line="360" w:lineRule="auto"/>
              <w:jc w:val="center"/>
              <w:rPr>
                <w:rFonts w:eastAsia="仿宋_GB2312"/>
                <w:sz w:val="24"/>
              </w:rPr>
            </w:pPr>
          </w:p>
        </w:tc>
        <w:tc>
          <w:tcPr>
            <w:tcW w:w="1276" w:type="dxa"/>
            <w:vAlign w:val="center"/>
          </w:tcPr>
          <w:p>
            <w:pPr>
              <w:widowControl/>
              <w:spacing w:line="360" w:lineRule="auto"/>
              <w:jc w:val="center"/>
              <w:rPr>
                <w:rFonts w:eastAsia="仿宋_GB2312"/>
                <w:sz w:val="24"/>
              </w:rPr>
            </w:pPr>
          </w:p>
        </w:tc>
      </w:tr>
    </w:tbl>
    <w:p>
      <w:pPr>
        <w:ind w:firstLine="420"/>
      </w:pPr>
    </w:p>
    <w:p>
      <w:pPr>
        <w:snapToGrid w:val="0"/>
        <w:spacing w:line="620" w:lineRule="exact"/>
        <w:ind w:firstLine="640" w:firstLineChars="200"/>
        <w:rPr>
          <w:rFonts w:eastAsia="仿宋_GB2312"/>
          <w:sz w:val="32"/>
          <w:szCs w:val="32"/>
        </w:rPr>
      </w:pPr>
    </w:p>
    <w:p>
      <w:pPr>
        <w:ind w:firstLine="420"/>
      </w:pPr>
    </w:p>
    <w:p/>
    <w:sectPr>
      <w:headerReference r:id="rId4" w:type="default"/>
      <w:footerReference r:id="rId5" w:type="default"/>
      <w:pgSz w:w="11906" w:h="16838"/>
      <w:pgMar w:top="1928" w:right="1616" w:bottom="1474" w:left="1616" w:header="851" w:footer="992" w:gutter="0"/>
      <w:pgNumType w:start="1"/>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Shruti">
    <w:panose1 w:val="020B0502040204020203"/>
    <w:charset w:val="00"/>
    <w:family w:val="auto"/>
    <w:pitch w:val="default"/>
    <w:sig w:usb0="00040003"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 PAGE   \* MERGEFORMAT </w:instrText>
    </w:r>
    <w:r>
      <w:fldChar w:fldCharType="separate"/>
    </w:r>
    <w:r>
      <w:rPr>
        <w:lang w:val="zh-CN"/>
      </w:rPr>
      <w:t>1</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85042978">
    <w:nsid w:val="76515A22"/>
    <w:multiLevelType w:val="multilevel"/>
    <w:tmpl w:val="76515A22"/>
    <w:lvl w:ilvl="0" w:tentative="1">
      <w:start w:val="1"/>
      <w:numFmt w:val="decimal"/>
      <w:lvlText w:val="%1、"/>
      <w:lvlJc w:val="left"/>
      <w:pPr>
        <w:ind w:left="1360" w:hanging="72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1910647231">
    <w:nsid w:val="71E229BF"/>
    <w:multiLevelType w:val="multilevel"/>
    <w:tmpl w:val="71E229BF"/>
    <w:lvl w:ilvl="0" w:tentative="1">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474490281">
    <w:nsid w:val="1C4825A9"/>
    <w:multiLevelType w:val="multilevel"/>
    <w:tmpl w:val="1C4825A9"/>
    <w:lvl w:ilvl="0" w:tentative="1">
      <w:start w:val="1"/>
      <w:numFmt w:val="japaneseCounting"/>
      <w:lvlText w:val="%1、"/>
      <w:lvlJc w:val="left"/>
      <w:pPr>
        <w:ind w:left="870" w:hanging="87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474490281"/>
  </w:num>
  <w:num w:numId="2">
    <w:abstractNumId w:val="1910647231"/>
  </w:num>
  <w:num w:numId="3">
    <w:abstractNumId w:val="19850429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spacing w:line="240" w:lineRule="auto"/>
      <w:ind w:firstLine="0" w:firstLineChars="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5">
    <w:name w:val="正文（宋体小四）样式1"/>
    <w:basedOn w:val="1"/>
    <w:uiPriority w:val="0"/>
    <w:pPr>
      <w:spacing w:beforeLines="50" w:afterLines="50" w:line="360" w:lineRule="auto"/>
      <w:ind w:firstLine="480" w:firstLineChars="200"/>
    </w:pPr>
    <w:rPr>
      <w:sz w:val="24"/>
      <w:szCs w:val="22"/>
    </w:rPr>
  </w:style>
  <w:style w:type="paragraph" w:customStyle="1" w:styleId="6">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2017-06-13T08:15:00Z</dcterms:created>
  <dc:creator>user</dc:creator>
  <cp:lastModifiedBy>goveditor</cp:lastModifiedBy>
  <dcterms:modified xsi:type="dcterms:W3CDTF">2017-06-13T08:58:11Z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