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jc w:val="center"/>
        <w:rPr>
          <w:sz w:val="44"/>
        </w:rPr>
      </w:pPr>
      <w:bookmarkStart w:id="49" w:name="_GoBack"/>
      <w:bookmarkEnd w:id="49"/>
      <w:r>
        <mc:AlternateContent>
          <mc:Choice Requires="wps">
            <w:drawing>
              <wp:anchor distT="0" distB="0" distL="114300" distR="114300" simplePos="0" relativeHeight="251660288" behindDoc="0" locked="0" layoutInCell="1" allowOverlap="1">
                <wp:simplePos x="0" y="0"/>
                <wp:positionH relativeFrom="column">
                  <wp:posOffset>-156845</wp:posOffset>
                </wp:positionH>
                <wp:positionV relativeFrom="paragraph">
                  <wp:posOffset>27305</wp:posOffset>
                </wp:positionV>
                <wp:extent cx="5440045" cy="10795"/>
                <wp:effectExtent l="0" t="0" r="0" b="0"/>
                <wp:wrapTopAndBottom/>
                <wp:docPr id="8" name="直接连接符 8"/>
                <wp:cNvGraphicFramePr/>
                <a:graphic xmlns:a="http://schemas.openxmlformats.org/drawingml/2006/main">
                  <a:graphicData uri="http://schemas.microsoft.com/office/word/2010/wordprocessingShape">
                    <wps:wsp>
                      <wps:cNvCnPr/>
                      <wps:spPr>
                        <a:xfrm flipV="1">
                          <a:off x="0" y="0"/>
                          <a:ext cx="5440045" cy="10795"/>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2.35pt;margin-top:2.15pt;height:0.85pt;width:428.35pt;mso-wrap-distance-bottom:0pt;mso-wrap-distance-top:0pt;z-index:251660288;mso-width-relative:page;mso-height-relative:page;" filled="f" stroked="t" coordsize="21600,21600" o:gfxdata="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VJ6D3XAAAABwEAAA8AAAAAAAAAAQAgAAAAIgAAAGRycy9kb3ducmV2LnhtbFBLAQIUABQAAAAI&#10;AIdO4kBgfFb97gEAAMADAAAOAAAAAAAAAAEAIAAAACYBAABkcnMvZTJvRG9jLnhtbFBLBQYAAAAA&#10;BgAGAFkBAACGBQAAAAA=&#10;">
                <v:fill on="f" focussize="0,0"/>
                <v:stroke weight="2.25pt" color="#000000 [3200]" miterlimit="8" joinstyle="miter"/>
                <v:imagedata o:title=""/>
                <o:lock v:ext="edit" aspectratio="f"/>
                <w10:wrap type="topAndBottom"/>
              </v:line>
            </w:pict>
          </mc:Fallback>
        </mc:AlternateContent>
      </w:r>
    </w:p>
    <w:p>
      <w:pPr>
        <w:ind w:firstLine="960"/>
        <w:jc w:val="center"/>
        <w:rPr>
          <w:rFonts w:ascii="黑体" w:hAnsi="黑体" w:eastAsia="黑体"/>
          <w:sz w:val="48"/>
          <w:szCs w:val="48"/>
        </w:rPr>
      </w:pPr>
      <w:r>
        <w:rPr>
          <w:rFonts w:hint="eastAsia" w:ascii="黑体" w:hAnsi="黑体" w:eastAsia="黑体"/>
          <w:sz w:val="48"/>
          <w:szCs w:val="48"/>
        </w:rPr>
        <w:t>地热供热站建设项目经济评价</w:t>
      </w:r>
    </w:p>
    <w:p>
      <w:pPr>
        <w:ind w:firstLine="600"/>
        <w:jc w:val="center"/>
        <w:rPr>
          <w:rFonts w:ascii="黑体" w:hAnsi="黑体" w:eastAsia="黑体"/>
          <w:sz w:val="30"/>
          <w:szCs w:val="30"/>
        </w:rPr>
      </w:pPr>
    </w:p>
    <w:p>
      <w:pPr>
        <w:ind w:firstLine="600"/>
        <w:jc w:val="center"/>
        <w:rPr>
          <w:rFonts w:ascii="黑体" w:hAnsi="黑体" w:eastAsia="黑体"/>
          <w:sz w:val="30"/>
          <w:szCs w:val="30"/>
        </w:rPr>
      </w:pPr>
    </w:p>
    <w:p>
      <w:pPr>
        <w:ind w:firstLine="600"/>
        <w:jc w:val="center"/>
        <w:rPr>
          <w:rFonts w:ascii="黑体" w:hAnsi="黑体" w:eastAsia="黑体"/>
          <w:sz w:val="30"/>
          <w:szCs w:val="30"/>
        </w:rPr>
      </w:pPr>
    </w:p>
    <w:p>
      <w:pPr>
        <w:ind w:firstLine="600"/>
        <w:jc w:val="center"/>
        <w:rPr>
          <w:rFonts w:ascii="黑体" w:hAnsi="黑体" w:eastAsia="黑体"/>
          <w:sz w:val="30"/>
          <w:szCs w:val="30"/>
        </w:rPr>
      </w:pPr>
    </w:p>
    <w:p>
      <w:pPr>
        <w:ind w:firstLine="600"/>
        <w:jc w:val="center"/>
        <w:rPr>
          <w:rFonts w:ascii="黑体" w:hAnsi="黑体" w:eastAsia="黑体"/>
          <w:sz w:val="30"/>
          <w:szCs w:val="30"/>
        </w:rPr>
      </w:pPr>
    </w:p>
    <w:p>
      <w:pPr>
        <w:ind w:firstLine="600"/>
        <w:jc w:val="center"/>
        <w:rPr>
          <w:rFonts w:ascii="黑体" w:hAnsi="黑体" w:eastAsia="黑体"/>
          <w:sz w:val="30"/>
          <w:szCs w:val="30"/>
        </w:rPr>
      </w:pPr>
    </w:p>
    <w:p>
      <w:pPr>
        <w:ind w:firstLine="600"/>
        <w:jc w:val="center"/>
        <w:rPr>
          <w:rFonts w:ascii="黑体" w:hAnsi="黑体" w:eastAsia="黑体"/>
          <w:sz w:val="30"/>
          <w:szCs w:val="30"/>
        </w:rPr>
      </w:pPr>
    </w:p>
    <w:p>
      <w:pPr>
        <w:ind w:firstLine="600"/>
        <w:jc w:val="center"/>
        <w:rPr>
          <w:rFonts w:ascii="黑体" w:hAnsi="黑体" w:eastAsia="黑体"/>
          <w:sz w:val="30"/>
          <w:szCs w:val="30"/>
        </w:rPr>
      </w:pPr>
    </w:p>
    <w:p>
      <w:pPr>
        <w:ind w:firstLine="600"/>
        <w:rPr>
          <w:rFonts w:ascii="黑体" w:hAnsi="黑体" w:eastAsia="黑体"/>
          <w:sz w:val="30"/>
          <w:szCs w:val="30"/>
        </w:rPr>
      </w:pPr>
    </w:p>
    <w:p>
      <w:pPr>
        <w:ind w:firstLine="600"/>
        <w:rPr>
          <w:rFonts w:ascii="黑体" w:hAnsi="黑体" w:eastAsia="黑体"/>
          <w:sz w:val="30"/>
          <w:szCs w:val="30"/>
        </w:rPr>
      </w:pPr>
    </w:p>
    <w:p>
      <w:pPr>
        <w:ind w:firstLine="600"/>
        <w:rPr>
          <w:rFonts w:ascii="黑体" w:hAnsi="黑体" w:eastAsia="黑体"/>
          <w:sz w:val="30"/>
          <w:szCs w:val="30"/>
        </w:rPr>
      </w:pPr>
    </w:p>
    <w:p>
      <w:pPr>
        <w:ind w:firstLine="600"/>
        <w:rPr>
          <w:rFonts w:ascii="黑体" w:hAnsi="黑体" w:eastAsia="黑体"/>
          <w:sz w:val="30"/>
          <w:szCs w:val="30"/>
        </w:rPr>
      </w:pPr>
      <w:r>
        <w:rPr>
          <w:rFonts w:eastAsia="黑体"/>
          <w:sz w:val="30"/>
          <w:szCs w:val="30"/>
        </w:rPr>
        <w:t>XXXX-XX-XX发布</w:t>
      </w:r>
      <w:r>
        <w:rPr>
          <w:rFonts w:eastAsia="黑体"/>
          <w:sz w:val="30"/>
          <w:szCs w:val="30"/>
        </w:rPr>
        <w:tab/>
      </w:r>
      <w:r>
        <w:rPr>
          <w:rFonts w:hint="eastAsia" w:ascii="黑体" w:hAnsi="黑体" w:eastAsia="黑体"/>
          <w:sz w:val="30"/>
          <w:szCs w:val="30"/>
        </w:rPr>
        <w:tab/>
      </w:r>
      <w:r>
        <w:rPr>
          <w:rFonts w:hint="eastAsia" w:ascii="黑体" w:hAnsi="黑体" w:eastAsia="黑体"/>
          <w:sz w:val="30"/>
          <w:szCs w:val="30"/>
        </w:rPr>
        <w:tab/>
      </w:r>
      <w:r>
        <w:rPr>
          <w:rFonts w:hint="eastAsia" w:ascii="黑体" w:hAnsi="黑体" w:eastAsia="黑体"/>
          <w:sz w:val="30"/>
          <w:szCs w:val="30"/>
        </w:rPr>
        <w:tab/>
      </w:r>
      <w:r>
        <w:rPr>
          <w:rFonts w:hint="eastAsia" w:ascii="黑体" w:hAnsi="黑体" w:eastAsia="黑体"/>
          <w:sz w:val="30"/>
          <w:szCs w:val="30"/>
        </w:rPr>
        <w:tab/>
      </w:r>
      <w:r>
        <w:rPr>
          <w:rFonts w:hint="eastAsia" w:ascii="黑体" w:hAnsi="黑体" w:eastAsia="黑体"/>
          <w:sz w:val="30"/>
          <w:szCs w:val="30"/>
        </w:rPr>
        <w:tab/>
      </w:r>
      <w:r>
        <w:rPr>
          <w:rFonts w:hint="eastAsia" w:ascii="黑体" w:hAnsi="黑体" w:eastAsia="黑体"/>
          <w:sz w:val="30"/>
          <w:szCs w:val="30"/>
        </w:rPr>
        <w:tab/>
      </w:r>
      <w:r>
        <w:rPr>
          <w:rFonts w:hint="eastAsia" w:ascii="黑体" w:hAnsi="黑体" w:eastAsia="黑体"/>
          <w:sz w:val="30"/>
          <w:szCs w:val="30"/>
        </w:rPr>
        <w:tab/>
      </w:r>
      <w:r>
        <w:rPr>
          <w:rFonts w:hint="eastAsia" w:ascii="黑体" w:hAnsi="黑体" w:eastAsia="黑体"/>
          <w:sz w:val="30"/>
          <w:szCs w:val="30"/>
        </w:rPr>
        <w:t xml:space="preserve">    </w:t>
      </w:r>
    </w:p>
    <w:p>
      <w:pPr>
        <w:ind w:firstLine="480"/>
        <w:rPr>
          <w:rFonts w:eastAsia="黑体"/>
        </w:rPr>
      </w:pPr>
      <w:r>
        <mc:AlternateContent>
          <mc:Choice Requires="wps">
            <w:drawing>
              <wp:anchor distT="0" distB="0" distL="114300" distR="114300" simplePos="0" relativeHeight="251659264" behindDoc="0" locked="0" layoutInCell="1" allowOverlap="1">
                <wp:simplePos x="0" y="0"/>
                <wp:positionH relativeFrom="column">
                  <wp:posOffset>-156845</wp:posOffset>
                </wp:positionH>
                <wp:positionV relativeFrom="paragraph">
                  <wp:posOffset>158750</wp:posOffset>
                </wp:positionV>
                <wp:extent cx="5440045" cy="10795"/>
                <wp:effectExtent l="0" t="0" r="0" b="0"/>
                <wp:wrapTopAndBottom/>
                <wp:docPr id="7" name="直接连接符 7"/>
                <wp:cNvGraphicFramePr/>
                <a:graphic xmlns:a="http://schemas.openxmlformats.org/drawingml/2006/main">
                  <a:graphicData uri="http://schemas.microsoft.com/office/word/2010/wordprocessingShape">
                    <wps:wsp>
                      <wps:cNvCnPr/>
                      <wps:spPr>
                        <a:xfrm flipV="1">
                          <a:off x="816610" y="8906510"/>
                          <a:ext cx="5440045" cy="10795"/>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2.35pt;margin-top:12.5pt;height:0.85pt;width:428.35pt;mso-wrap-distance-bottom:0pt;mso-wrap-distance-top:0pt;z-index:251659264;mso-width-relative:page;mso-height-relative:page;" filled="f" stroked="t" coordsize="21600,21600" o:gfxdata="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SisW/ZAAAACQEAAA8AAAAAAAAAAQAgAAAAIgAAAGRycy9kb3ducmV2Lnht&#10;bFBLAQIUABQAAAAIAIdO4kCJea2S+AEAAMsDAAAOAAAAAAAAAAEAIAAAACgBAABkcnMvZTJvRG9j&#10;LnhtbFBLBQYAAAAABgAGAFkBAACSBQAAAAA=&#10;">
                <v:fill on="f" focussize="0,0"/>
                <v:stroke weight="2.25pt" color="#000000 [3200]" miterlimit="8" joinstyle="miter"/>
                <v:imagedata o:title=""/>
                <o:lock v:ext="edit" aspectratio="f"/>
                <w10:wrap type="topAndBottom"/>
              </v:line>
            </w:pict>
          </mc:Fallback>
        </mc:AlternateContent>
      </w:r>
    </w:p>
    <w:p>
      <w:pPr>
        <w:ind w:firstLine="640"/>
        <w:jc w:val="center"/>
        <w:rPr>
          <w:rFonts w:ascii="黑体" w:hAnsi="黑体" w:eastAsia="黑体"/>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737" w:gutter="0"/>
          <w:pgNumType w:start="1"/>
          <w:cols w:space="425" w:num="1"/>
          <w:docGrid w:type="lines" w:linePitch="326" w:charSpace="0"/>
        </w:sectPr>
      </w:pPr>
      <w:r>
        <w:rPr>
          <w:rFonts w:hint="eastAsia" w:ascii="黑体" w:hAnsi="黑体" w:eastAsia="黑体"/>
          <w:sz w:val="32"/>
          <w:szCs w:val="32"/>
        </w:rPr>
        <w:t>X</w:t>
      </w:r>
      <w:r>
        <w:rPr>
          <w:rFonts w:ascii="黑体" w:hAnsi="黑体" w:eastAsia="黑体"/>
          <w:sz w:val="32"/>
          <w:szCs w:val="32"/>
        </w:rPr>
        <w:t>XXXXXXXXXX</w:t>
      </w:r>
      <w:r>
        <w:rPr>
          <w:rFonts w:hint="eastAsia" w:ascii="黑体" w:hAnsi="黑体" w:eastAsia="黑体"/>
          <w:sz w:val="32"/>
          <w:szCs w:val="32"/>
        </w:rPr>
        <w:t xml:space="preserve">  </w:t>
      </w:r>
      <w:r>
        <w:rPr>
          <w:rFonts w:hint="eastAsia" w:ascii="黑体" w:hAnsi="黑体" w:eastAsia="黑体"/>
          <w:color w:val="A6A6A6" w:themeColor="background1" w:themeShade="A6"/>
          <w:sz w:val="32"/>
          <w:szCs w:val="32"/>
        </w:rPr>
        <w:t>发布</w:t>
      </w:r>
    </w:p>
    <w:p>
      <w:pPr>
        <w:pStyle w:val="26"/>
        <w:ind w:firstLine="640"/>
      </w:pPr>
      <w:bookmarkStart w:id="0" w:name="_Toc60831406"/>
      <w:bookmarkStart w:id="1" w:name="_Toc22009"/>
      <w:bookmarkStart w:id="2" w:name="_Toc49872637"/>
      <w:bookmarkStart w:id="3" w:name="_Toc49872548"/>
      <w:bookmarkStart w:id="4" w:name="_Toc60837247"/>
      <w:bookmarkStart w:id="5" w:name="_Toc166739123"/>
      <w:bookmarkStart w:id="6" w:name="_Toc44678004"/>
      <w:r>
        <w:rPr>
          <w:rFonts w:hint="eastAsia"/>
        </w:rPr>
        <w:t>前    言</w:t>
      </w:r>
      <w:bookmarkEnd w:id="0"/>
      <w:bookmarkEnd w:id="1"/>
      <w:bookmarkEnd w:id="2"/>
      <w:bookmarkEnd w:id="3"/>
      <w:bookmarkEnd w:id="4"/>
      <w:bookmarkEnd w:id="5"/>
    </w:p>
    <w:p>
      <w:pPr>
        <w:ind w:firstLine="480"/>
      </w:pPr>
      <w:r>
        <w:rPr>
          <w:rFonts w:hint="eastAsia"/>
        </w:rPr>
        <w:t>本标准由X</w:t>
      </w:r>
      <w:r>
        <w:t>XXX</w:t>
      </w:r>
      <w:r>
        <w:rPr>
          <w:rFonts w:hint="eastAsia"/>
        </w:rPr>
        <w:t>提出并归口。</w:t>
      </w:r>
    </w:p>
    <w:p>
      <w:pPr>
        <w:ind w:firstLine="480"/>
      </w:pPr>
      <w:r>
        <w:rPr>
          <w:rFonts w:hint="eastAsia"/>
        </w:rPr>
        <w:t>本标准起草单位：中国石油深圳新能源研究院、中石化绿源地热能开发有限公司、华电郑州机械设计研究院有限公司、中国电建集团华东勘测设计研究院有限公司。</w:t>
      </w:r>
    </w:p>
    <w:p>
      <w:pPr>
        <w:ind w:firstLine="480"/>
      </w:pPr>
      <w:r>
        <w:rPr>
          <w:rFonts w:hint="eastAsia"/>
        </w:rPr>
        <w:t>本标准主要起草人：XXX、XXX、XXX。</w:t>
      </w:r>
    </w:p>
    <w:p>
      <w:pPr>
        <w:ind w:firstLine="480"/>
        <w:sectPr>
          <w:footerReference r:id="rId11" w:type="default"/>
          <w:pgSz w:w="11906" w:h="16838"/>
          <w:pgMar w:top="1440" w:right="1800" w:bottom="1440" w:left="1800" w:header="851" w:footer="737" w:gutter="0"/>
          <w:pgNumType w:fmt="upperRoman" w:start="1"/>
          <w:cols w:space="425" w:num="1"/>
          <w:docGrid w:type="lines" w:linePitch="326" w:charSpace="0"/>
        </w:sectPr>
      </w:pPr>
    </w:p>
    <w:sdt>
      <w:sdtPr>
        <w:rPr>
          <w:rFonts w:ascii="Times New Roman" w:hAnsi="Times New Roman"/>
          <w:b w:val="0"/>
        </w:rPr>
        <w:id w:val="-1843304251"/>
        <w:docPartObj>
          <w:docPartGallery w:val="Table of Contents"/>
          <w:docPartUnique/>
        </w:docPartObj>
      </w:sdtPr>
      <w:sdtEndPr>
        <w:rPr>
          <w:rFonts w:ascii="Times New Roman" w:hAnsi="Times New Roman"/>
          <w:b w:val="0"/>
        </w:rPr>
      </w:sdtEndPr>
      <w:sdtContent>
        <w:p>
          <w:pPr>
            <w:pStyle w:val="52"/>
            <w:ind w:firstLine="480"/>
          </w:pPr>
          <w:bookmarkStart w:id="7" w:name="_Toc60837248"/>
          <w:bookmarkStart w:id="8" w:name="_Toc60831407"/>
          <w:bookmarkStart w:id="9" w:name="_Toc5380"/>
          <w:bookmarkEnd w:id="7"/>
          <w:bookmarkEnd w:id="8"/>
        </w:p>
        <w:p>
          <w:pPr>
            <w:pStyle w:val="21"/>
            <w:tabs>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TOC \o "1-1" \h \z \u </w:instrText>
          </w:r>
          <w:r>
            <w:fldChar w:fldCharType="separate"/>
          </w:r>
          <w:r>
            <w:fldChar w:fldCharType="begin"/>
          </w:r>
          <w:r>
            <w:instrText xml:space="preserve"> HYPERLINK \l "_Toc166739123" </w:instrText>
          </w:r>
          <w:r>
            <w:fldChar w:fldCharType="separate"/>
          </w:r>
          <w:r>
            <w:rPr>
              <w:rStyle w:val="37"/>
            </w:rPr>
            <w:t>前    言</w:t>
          </w:r>
          <w:r>
            <w:tab/>
          </w:r>
          <w:r>
            <w:fldChar w:fldCharType="begin"/>
          </w:r>
          <w:r>
            <w:instrText xml:space="preserve"> PAGEREF _Toc166739123 \h </w:instrText>
          </w:r>
          <w:r>
            <w:fldChar w:fldCharType="separate"/>
          </w:r>
          <w:r>
            <w:t>I</w:t>
          </w:r>
          <w:r>
            <w:fldChar w:fldCharType="end"/>
          </w:r>
          <w:r>
            <w:fldChar w:fldCharType="end"/>
          </w:r>
        </w:p>
        <w:p>
          <w:pPr>
            <w:pStyle w:val="21"/>
            <w:tabs>
              <w:tab w:val="left" w:pos="1260"/>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"_Toc166739124" </w:instrText>
          </w:r>
          <w:r>
            <w:fldChar w:fldCharType="separate"/>
          </w:r>
          <w:r>
            <w:rPr>
              <w:rStyle w:val="37"/>
            </w:rPr>
            <w:t>1</w:t>
          </w:r>
          <w:r>
            <w:rPr>
              <w:rFonts w:asciiTheme="minorHAnsi" w:hAnsiTheme="minorHAnsi" w:eastAsiaTheme="minorEastAsia" w:cstheme="minorBidi"/>
              <w:sz w:val="22"/>
              <w14:ligatures w14:val="standardContextual"/>
            </w:rPr>
            <w:tab/>
          </w:r>
          <w:r>
            <w:rPr>
              <w:rStyle w:val="37"/>
            </w:rPr>
            <w:t>范围</w:t>
          </w:r>
          <w:r>
            <w:tab/>
          </w:r>
          <w:r>
            <w:fldChar w:fldCharType="begin"/>
          </w:r>
          <w:r>
            <w:instrText xml:space="preserve"> PAGEREF _Toc166739124 \h </w:instrText>
          </w:r>
          <w:r>
            <w:fldChar w:fldCharType="separate"/>
          </w:r>
          <w:r>
            <w:t>2</w:t>
          </w:r>
          <w:r>
            <w:fldChar w:fldCharType="end"/>
          </w:r>
          <w:r>
            <w:fldChar w:fldCharType="end"/>
          </w:r>
        </w:p>
        <w:p>
          <w:pPr>
            <w:pStyle w:val="21"/>
            <w:tabs>
              <w:tab w:val="left" w:pos="1260"/>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"_Toc166739125" </w:instrText>
          </w:r>
          <w:r>
            <w:fldChar w:fldCharType="separate"/>
          </w:r>
          <w:r>
            <w:rPr>
              <w:rStyle w:val="37"/>
            </w:rPr>
            <w:t>2</w:t>
          </w:r>
          <w:r>
            <w:rPr>
              <w:rFonts w:asciiTheme="minorHAnsi" w:hAnsiTheme="minorHAnsi" w:eastAsiaTheme="minorEastAsia" w:cstheme="minorBidi"/>
              <w:sz w:val="22"/>
              <w14:ligatures w14:val="standardContextual"/>
            </w:rPr>
            <w:tab/>
          </w:r>
          <w:r>
            <w:rPr>
              <w:rStyle w:val="37"/>
            </w:rPr>
            <w:t>规范性引用文件</w:t>
          </w:r>
          <w:r>
            <w:tab/>
          </w:r>
          <w:r>
            <w:fldChar w:fldCharType="begin"/>
          </w:r>
          <w:r>
            <w:instrText xml:space="preserve"> PAGEREF _Toc166739125 \h </w:instrText>
          </w:r>
          <w:r>
            <w:fldChar w:fldCharType="separate"/>
          </w:r>
          <w:r>
            <w:t>2</w:t>
          </w:r>
          <w:r>
            <w:fldChar w:fldCharType="end"/>
          </w:r>
          <w:r>
            <w:fldChar w:fldCharType="end"/>
          </w:r>
        </w:p>
        <w:p>
          <w:pPr>
            <w:pStyle w:val="21"/>
            <w:tabs>
              <w:tab w:val="left" w:pos="1260"/>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"_Toc166739126" </w:instrText>
          </w:r>
          <w:r>
            <w:fldChar w:fldCharType="separate"/>
          </w:r>
          <w:r>
            <w:rPr>
              <w:rStyle w:val="37"/>
            </w:rPr>
            <w:t>3</w:t>
          </w:r>
          <w:r>
            <w:rPr>
              <w:rFonts w:asciiTheme="minorHAnsi" w:hAnsiTheme="minorHAnsi" w:eastAsiaTheme="minorEastAsia" w:cstheme="minorBidi"/>
              <w:sz w:val="22"/>
              <w14:ligatures w14:val="standardContextual"/>
            </w:rPr>
            <w:tab/>
          </w:r>
          <w:r>
            <w:rPr>
              <w:rStyle w:val="37"/>
            </w:rPr>
            <w:t>术语和定义</w:t>
          </w:r>
          <w:r>
            <w:tab/>
          </w:r>
          <w:r>
            <w:fldChar w:fldCharType="begin"/>
          </w:r>
          <w:r>
            <w:instrText xml:space="preserve"> PAGEREF _Toc166739126 \h </w:instrText>
          </w:r>
          <w:r>
            <w:fldChar w:fldCharType="separate"/>
          </w:r>
          <w:r>
            <w:t>2</w:t>
          </w:r>
          <w:r>
            <w:fldChar w:fldCharType="end"/>
          </w:r>
          <w:r>
            <w:fldChar w:fldCharType="end"/>
          </w:r>
        </w:p>
        <w:p>
          <w:pPr>
            <w:pStyle w:val="21"/>
            <w:tabs>
              <w:tab w:val="left" w:pos="1260"/>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"_Toc166739127" </w:instrText>
          </w:r>
          <w:r>
            <w:fldChar w:fldCharType="separate"/>
          </w:r>
          <w:r>
            <w:rPr>
              <w:rStyle w:val="37"/>
            </w:rPr>
            <w:t>4</w:t>
          </w:r>
          <w:r>
            <w:rPr>
              <w:rFonts w:asciiTheme="minorHAnsi" w:hAnsiTheme="minorHAnsi" w:eastAsiaTheme="minorEastAsia" w:cstheme="minorBidi"/>
              <w:sz w:val="22"/>
              <w14:ligatures w14:val="standardContextual"/>
            </w:rPr>
            <w:tab/>
          </w:r>
          <w:r>
            <w:rPr>
              <w:rStyle w:val="37"/>
            </w:rPr>
            <w:t>地热供热项目建设方案</w:t>
          </w:r>
          <w:r>
            <w:tab/>
          </w:r>
          <w:r>
            <w:fldChar w:fldCharType="begin"/>
          </w:r>
          <w:r>
            <w:instrText xml:space="preserve"> PAGEREF _Toc166739127 \h </w:instrText>
          </w:r>
          <w:r>
            <w:fldChar w:fldCharType="separate"/>
          </w:r>
          <w:r>
            <w:t>3</w:t>
          </w:r>
          <w:r>
            <w:fldChar w:fldCharType="end"/>
          </w:r>
          <w:r>
            <w:fldChar w:fldCharType="end"/>
          </w:r>
        </w:p>
        <w:p>
          <w:pPr>
            <w:pStyle w:val="21"/>
            <w:tabs>
              <w:tab w:val="left" w:pos="1260"/>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"_Toc166739128" </w:instrText>
          </w:r>
          <w:r>
            <w:fldChar w:fldCharType="separate"/>
          </w:r>
          <w:r>
            <w:rPr>
              <w:rStyle w:val="37"/>
            </w:rPr>
            <w:t>5</w:t>
          </w:r>
          <w:r>
            <w:rPr>
              <w:rFonts w:asciiTheme="minorHAnsi" w:hAnsiTheme="minorHAnsi" w:eastAsiaTheme="minorEastAsia" w:cstheme="minorBidi"/>
              <w:sz w:val="22"/>
              <w14:ligatures w14:val="standardContextual"/>
            </w:rPr>
            <w:tab/>
          </w:r>
          <w:r>
            <w:rPr>
              <w:rStyle w:val="37"/>
            </w:rPr>
            <w:t>财务效益与费用估算</w:t>
          </w:r>
          <w:r>
            <w:tab/>
          </w:r>
          <w:r>
            <w:fldChar w:fldCharType="begin"/>
          </w:r>
          <w:r>
            <w:instrText xml:space="preserve"> PAGEREF _Toc166739128 \h </w:instrText>
          </w:r>
          <w:r>
            <w:fldChar w:fldCharType="separate"/>
          </w:r>
          <w:r>
            <w:t>8</w:t>
          </w:r>
          <w:r>
            <w:fldChar w:fldCharType="end"/>
          </w:r>
          <w:r>
            <w:fldChar w:fldCharType="end"/>
          </w:r>
        </w:p>
        <w:p>
          <w:pPr>
            <w:pStyle w:val="21"/>
            <w:tabs>
              <w:tab w:val="left" w:pos="1260"/>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"_Toc166739129" </w:instrText>
          </w:r>
          <w:r>
            <w:fldChar w:fldCharType="separate"/>
          </w:r>
          <w:r>
            <w:rPr>
              <w:rStyle w:val="37"/>
            </w:rPr>
            <w:t>6</w:t>
          </w:r>
          <w:r>
            <w:rPr>
              <w:rFonts w:asciiTheme="minorHAnsi" w:hAnsiTheme="minorHAnsi" w:eastAsiaTheme="minorEastAsia" w:cstheme="minorBidi"/>
              <w:sz w:val="22"/>
              <w14:ligatures w14:val="standardContextual"/>
            </w:rPr>
            <w:tab/>
          </w:r>
          <w:r>
            <w:rPr>
              <w:rStyle w:val="37"/>
            </w:rPr>
            <w:t>效益分析</w:t>
          </w:r>
          <w:r>
            <w:tab/>
          </w:r>
          <w:r>
            <w:fldChar w:fldCharType="begin"/>
          </w:r>
          <w:r>
            <w:instrText xml:space="preserve"> PAGEREF _Toc166739129 \h </w:instrText>
          </w:r>
          <w:r>
            <w:fldChar w:fldCharType="separate"/>
          </w:r>
          <w:r>
            <w:t>10</w:t>
          </w:r>
          <w:r>
            <w:fldChar w:fldCharType="end"/>
          </w:r>
          <w:r>
            <w:fldChar w:fldCharType="end"/>
          </w:r>
        </w:p>
        <w:p>
          <w:pPr>
            <w:pStyle w:val="21"/>
            <w:tabs>
              <w:tab w:val="left" w:pos="1260"/>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"_Toc166739130" </w:instrText>
          </w:r>
          <w:r>
            <w:fldChar w:fldCharType="separate"/>
          </w:r>
          <w:r>
            <w:rPr>
              <w:rStyle w:val="37"/>
            </w:rPr>
            <w:t>7</w:t>
          </w:r>
          <w:r>
            <w:rPr>
              <w:rFonts w:asciiTheme="minorHAnsi" w:hAnsiTheme="minorHAnsi" w:eastAsiaTheme="minorEastAsia" w:cstheme="minorBidi"/>
              <w:sz w:val="22"/>
              <w14:ligatures w14:val="standardContextual"/>
            </w:rPr>
            <w:tab/>
          </w:r>
          <w:r>
            <w:rPr>
              <w:rStyle w:val="37"/>
            </w:rPr>
            <w:t>经济评价报表编制</w:t>
          </w:r>
          <w:r>
            <w:tab/>
          </w:r>
          <w:r>
            <w:fldChar w:fldCharType="begin"/>
          </w:r>
          <w:r>
            <w:instrText xml:space="preserve"> PAGEREF _Toc166739130 \h </w:instrText>
          </w:r>
          <w:r>
            <w:fldChar w:fldCharType="separate"/>
          </w:r>
          <w:r>
            <w:t>11</w:t>
          </w:r>
          <w:r>
            <w:fldChar w:fldCharType="end"/>
          </w:r>
          <w:r>
            <w:fldChar w:fldCharType="end"/>
          </w:r>
        </w:p>
        <w:p>
          <w:pPr>
            <w:pStyle w:val="21"/>
            <w:tabs>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"_Toc166739131" </w:instrText>
          </w:r>
          <w:r>
            <w:fldChar w:fldCharType="separate"/>
          </w:r>
          <w:r>
            <w:rPr>
              <w:rStyle w:val="37"/>
              <w:rFonts w:ascii="黑体" w:hAnsi="黑体"/>
            </w:rPr>
            <w:t>A. 附录：地热供热项目经济评价文件通用要素</w:t>
          </w:r>
          <w:r>
            <w:tab/>
          </w:r>
          <w:r>
            <w:fldChar w:fldCharType="begin"/>
          </w:r>
          <w:r>
            <w:instrText xml:space="preserve"> PAGEREF _Toc166739131 \h </w:instrText>
          </w:r>
          <w:r>
            <w:fldChar w:fldCharType="separate"/>
          </w:r>
          <w:r>
            <w:t>13</w:t>
          </w:r>
          <w:r>
            <w:fldChar w:fldCharType="end"/>
          </w:r>
          <w:r>
            <w:fldChar w:fldCharType="end"/>
          </w:r>
        </w:p>
        <w:p>
          <w:pPr>
            <w:pStyle w:val="21"/>
            <w:tabs>
              <w:tab w:val="right" w:leader="dot" w:pos="8296"/>
            </w:tabs>
            <w:ind w:firstLine="480"/>
            <w:rPr>
              <w:rFonts w:asciiTheme="minorHAnsi" w:hAnsiTheme="minorHAnsi" w:eastAsiaTheme="minorEastAsia" w:cstheme="minorBidi"/>
              <w:sz w:val="22"/>
              <w14:ligatures w14:val="standardContextual"/>
            </w:rPr>
          </w:pPr>
          <w:r>
            <w:fldChar w:fldCharType="begin"/>
          </w:r>
          <w:r>
            <w:instrText xml:space="preserve"> HYPERLINK \l "_Toc166739132" </w:instrText>
          </w:r>
          <w:r>
            <w:fldChar w:fldCharType="separate"/>
          </w:r>
          <w:r>
            <w:rPr>
              <w:rStyle w:val="37"/>
            </w:rPr>
            <w:t>B.</w:t>
          </w:r>
          <w:r>
            <w:rPr>
              <w:rStyle w:val="37"/>
              <w:rFonts w:ascii="黑体" w:hAnsi="黑体"/>
            </w:rPr>
            <w:t xml:space="preserve"> 附录：地热供热项目经济评价相关参数计算方法</w:t>
          </w:r>
          <w:r>
            <w:tab/>
          </w:r>
          <w:r>
            <w:fldChar w:fldCharType="begin"/>
          </w:r>
          <w:r>
            <w:instrText xml:space="preserve"> PAGEREF _Toc166739132 \h </w:instrText>
          </w:r>
          <w:r>
            <w:fldChar w:fldCharType="separate"/>
          </w:r>
          <w:r>
            <w:t>17</w:t>
          </w:r>
          <w:r>
            <w:fldChar w:fldCharType="end"/>
          </w:r>
          <w:r>
            <w:fldChar w:fldCharType="end"/>
          </w:r>
        </w:p>
        <w:p>
          <w:pPr>
            <w:ind w:firstLine="480"/>
          </w:pPr>
          <w:r>
            <w:fldChar w:fldCharType="end"/>
          </w:r>
        </w:p>
      </w:sdtContent>
    </w:sdt>
    <w:p>
      <w:pPr>
        <w:pStyle w:val="2"/>
        <w:sectPr>
          <w:footerReference r:id="rId12" w:type="default"/>
          <w:footerReference r:id="rId13" w:type="even"/>
          <w:pgSz w:w="11906" w:h="16838"/>
          <w:pgMar w:top="1440" w:right="1800" w:bottom="1440" w:left="1800" w:header="851" w:footer="907" w:gutter="0"/>
          <w:pgNumType w:fmt="upperRoman" w:start="1"/>
          <w:cols w:space="425" w:num="1"/>
          <w:docGrid w:type="lines" w:linePitch="326" w:charSpace="0"/>
        </w:sectPr>
      </w:pPr>
    </w:p>
    <w:p>
      <w:pPr>
        <w:pStyle w:val="2"/>
        <w:numPr>
          <w:ilvl w:val="0"/>
          <w:numId w:val="8"/>
        </w:numPr>
      </w:pPr>
      <w:bookmarkStart w:id="10" w:name="_Toc166739124"/>
      <w:r>
        <w:rPr>
          <w:rFonts w:hint="eastAsia"/>
        </w:rPr>
        <w:t>范围</w:t>
      </w:r>
      <w:bookmarkEnd w:id="10"/>
    </w:p>
    <w:p>
      <w:pPr>
        <w:ind w:firstLine="480"/>
        <w:rPr>
          <w:lang w:val="zh-CN"/>
        </w:rPr>
      </w:pPr>
      <w:r>
        <w:rPr>
          <w:rFonts w:hint="eastAsia"/>
          <w:lang w:val="zh-CN"/>
        </w:rPr>
        <w:t>本标准规定了中深层水热型</w:t>
      </w:r>
      <w:bookmarkStart w:id="11" w:name="_Hlk168058165"/>
      <w:r>
        <w:rPr>
          <w:rFonts w:hint="eastAsia"/>
          <w:lang w:val="zh-CN"/>
        </w:rPr>
        <w:t>地热供热站建设项目经济评价</w:t>
      </w:r>
      <w:bookmarkEnd w:id="11"/>
      <w:r>
        <w:rPr>
          <w:rFonts w:hint="eastAsia"/>
          <w:lang w:val="zh-CN"/>
        </w:rPr>
        <w:t>的基本方法和技术要求。</w:t>
      </w:r>
    </w:p>
    <w:p>
      <w:pPr>
        <w:ind w:firstLine="480"/>
        <w:rPr>
          <w:rFonts w:ascii="黑体" w:hAnsi="黑体" w:eastAsia="黑体"/>
          <w:b/>
          <w:sz w:val="30"/>
        </w:rPr>
      </w:pPr>
      <w:r>
        <w:rPr>
          <w:rFonts w:hint="eastAsia"/>
          <w:lang w:val="zh-CN"/>
        </w:rPr>
        <w:t>本标准适用于包含地热水开采、地热尾水回灌、热能供给的中深层热水型地热资源开发利用工程建设项目的经济评价。</w:t>
      </w:r>
    </w:p>
    <w:p>
      <w:pPr>
        <w:pStyle w:val="2"/>
      </w:pPr>
      <w:bookmarkStart w:id="12" w:name="_Toc166739125"/>
      <w:r>
        <w:rPr>
          <w:rFonts w:hint="eastAsia"/>
        </w:rPr>
        <w:t>规范性引用文件</w:t>
      </w:r>
      <w:bookmarkEnd w:id="12"/>
    </w:p>
    <w:p>
      <w:pPr>
        <w:pStyle w:val="21"/>
        <w:ind w:firstLine="480"/>
      </w:pPr>
      <w:r>
        <w:t>下列最新版本（包括修改）</w:t>
      </w:r>
      <w:r>
        <w:rPr>
          <w:rFonts w:hint="eastAsia"/>
        </w:rPr>
        <w:t>的</w:t>
      </w:r>
      <w:r>
        <w:t>文件对于本</w:t>
      </w:r>
      <w:r>
        <w:rPr>
          <w:rFonts w:hint="eastAsia"/>
        </w:rPr>
        <w:t>标准</w:t>
      </w:r>
      <w:r>
        <w:t>的应用是必不可少的。</w:t>
      </w:r>
    </w:p>
    <w:p>
      <w:pPr>
        <w:pStyle w:val="21"/>
        <w:ind w:firstLine="480"/>
      </w:pPr>
      <w:r>
        <w:rPr>
          <w:rFonts w:hint="eastAsia"/>
        </w:rPr>
        <w:t>《地热资源地质勘查规范》</w:t>
      </w:r>
    </w:p>
    <w:p>
      <w:pPr>
        <w:ind w:firstLine="480"/>
        <w:rPr>
          <w:lang w:val="zh-CN"/>
        </w:rPr>
      </w:pPr>
      <w:r>
        <w:rPr>
          <w:rFonts w:hint="eastAsia"/>
          <w:lang w:val="zh-CN"/>
        </w:rPr>
        <w:t>《民用建筑供热通风与空气调节设计规范》</w:t>
      </w:r>
    </w:p>
    <w:p>
      <w:pPr>
        <w:ind w:firstLine="480"/>
        <w:rPr>
          <w:lang w:val="zh-CN"/>
        </w:rPr>
      </w:pPr>
      <w:r>
        <w:rPr>
          <w:rFonts w:hint="eastAsia"/>
          <w:lang w:val="zh-CN"/>
        </w:rPr>
        <w:t>《工业建筑供热通风与空调调节设计规范》</w:t>
      </w:r>
    </w:p>
    <w:p>
      <w:pPr>
        <w:ind w:firstLine="480"/>
      </w:pPr>
      <w:r>
        <w:rPr>
          <w:rFonts w:hint="eastAsia"/>
          <w:lang w:val="zh-CN"/>
        </w:rPr>
        <w:t>《</w:t>
      </w:r>
      <w:r>
        <w:t>地热田勘查评价规范</w:t>
      </w:r>
      <w:r>
        <w:rPr>
          <w:rFonts w:hint="eastAsia"/>
          <w:lang w:val="zh-CN"/>
        </w:rPr>
        <w:t>》</w:t>
      </w:r>
    </w:p>
    <w:p>
      <w:pPr>
        <w:ind w:firstLine="480"/>
        <w:rPr>
          <w:lang w:val="zh-CN"/>
        </w:rPr>
      </w:pPr>
      <w:r>
        <w:rPr>
          <w:rFonts w:hint="eastAsia"/>
          <w:lang w:val="zh-CN"/>
        </w:rPr>
        <w:t>《地热资源评价方法及估算规程》</w:t>
      </w:r>
    </w:p>
    <w:p>
      <w:pPr>
        <w:ind w:firstLine="480"/>
        <w:rPr>
          <w:lang w:val="zh-CN"/>
        </w:rPr>
      </w:pPr>
      <w:r>
        <w:rPr>
          <w:rFonts w:hint="eastAsia"/>
          <w:lang w:val="zh-CN"/>
        </w:rPr>
        <w:t>《地热井产能评价技术规范》</w:t>
      </w:r>
    </w:p>
    <w:p>
      <w:pPr>
        <w:ind w:firstLine="480"/>
        <w:rPr>
          <w:lang w:val="zh-CN"/>
        </w:rPr>
      </w:pPr>
      <w:r>
        <w:rPr>
          <w:rFonts w:hint="eastAsia"/>
          <w:lang w:val="zh-CN"/>
        </w:rPr>
        <w:t>《地热能术语》</w:t>
      </w:r>
    </w:p>
    <w:p>
      <w:pPr>
        <w:ind w:firstLine="480"/>
      </w:pPr>
      <w:r>
        <w:rPr>
          <w:rFonts w:hint="eastAsia"/>
        </w:rPr>
        <w:t>《城镇供热管网设计标准》</w:t>
      </w:r>
    </w:p>
    <w:p>
      <w:pPr>
        <w:ind w:firstLine="480"/>
        <w:rPr>
          <w:lang w:val="zh-CN"/>
        </w:rPr>
      </w:pPr>
      <w:r>
        <w:rPr>
          <w:rFonts w:hint="eastAsia"/>
          <w:lang w:val="zh-CN"/>
        </w:rPr>
        <w:t>《建设项目经济评价方法与参数》</w:t>
      </w:r>
    </w:p>
    <w:p>
      <w:pPr>
        <w:pStyle w:val="2"/>
      </w:pPr>
      <w:bookmarkStart w:id="13" w:name="_Toc166739126"/>
      <w:r>
        <w:rPr>
          <w:rFonts w:hint="eastAsia"/>
        </w:rPr>
        <w:t>术语和定义</w:t>
      </w:r>
      <w:bookmarkEnd w:id="13"/>
    </w:p>
    <w:p>
      <w:pPr>
        <w:ind w:firstLine="480"/>
        <w:rPr>
          <w:lang w:val="zh-CN"/>
        </w:rPr>
      </w:pPr>
      <w:r>
        <w:rPr>
          <w:rFonts w:hint="eastAsia"/>
          <w:lang w:val="zh-CN"/>
        </w:rPr>
        <w:t>下列术语和定义适用于本标准。</w:t>
      </w:r>
    </w:p>
    <w:p>
      <w:pPr>
        <w:pStyle w:val="3"/>
        <w:spacing w:before="163" w:after="163"/>
        <w:ind w:left="0" w:firstLine="566" w:firstLineChars="235"/>
      </w:pPr>
      <w:r>
        <w:rPr>
          <w:rFonts w:hint="eastAsia"/>
        </w:rPr>
        <w:t>地热供热项目经济评价 e</w:t>
      </w:r>
      <w:r>
        <w:t xml:space="preserve">conomic evaluation </w:t>
      </w:r>
      <w:r>
        <w:rPr>
          <w:rFonts w:hint="eastAsia"/>
        </w:rPr>
        <w:t>for</w:t>
      </w:r>
      <w:r>
        <w:t xml:space="preserve"> geothermal heating projects</w:t>
      </w:r>
    </w:p>
    <w:p>
      <w:pPr>
        <w:ind w:firstLine="480"/>
      </w:pPr>
      <w:r>
        <w:rPr>
          <w:rFonts w:hint="eastAsia"/>
        </w:rPr>
        <w:t>按照预期的决策目标，通过项目（或方案）的投资结构构成和各项投资费用、和效益分析，对地热供热项目的建设投资方案及投资价值进行评估，为项目投资决策提供依据。</w:t>
      </w:r>
    </w:p>
    <w:p>
      <w:pPr>
        <w:pStyle w:val="3"/>
        <w:spacing w:before="163" w:after="163"/>
      </w:pPr>
      <w:bookmarkStart w:id="14" w:name="_Hlk149982977"/>
      <w:r>
        <w:rPr>
          <w:rFonts w:hint="eastAsia"/>
        </w:rPr>
        <w:t xml:space="preserve">评价期 </w:t>
      </w:r>
      <w:r>
        <w:t>evaluation period</w:t>
      </w:r>
    </w:p>
    <w:bookmarkEnd w:id="14"/>
    <w:p>
      <w:pPr>
        <w:ind w:firstLine="480"/>
      </w:pPr>
      <w:r>
        <w:rPr>
          <w:rFonts w:hint="eastAsia"/>
        </w:rPr>
        <w:t>地热供热项目评价期一般为</w:t>
      </w:r>
      <w:r>
        <w:t>3</w:t>
      </w:r>
      <w:r>
        <w:rPr>
          <w:rFonts w:hint="eastAsia"/>
        </w:rPr>
        <w:t>0年，按照地热供热项目的评价基期进行计算。地热供热项目设计方案预算投资列入基准年。基准年指评价期的前一年（第零年）。</w:t>
      </w:r>
    </w:p>
    <w:p>
      <w:pPr>
        <w:pStyle w:val="3"/>
        <w:spacing w:before="163" w:after="163"/>
      </w:pPr>
      <w:r>
        <w:rPr>
          <w:rFonts w:hint="eastAsia"/>
        </w:rPr>
        <w:t xml:space="preserve">基期 </w:t>
      </w:r>
      <w:r>
        <w:t>base period</w:t>
      </w:r>
    </w:p>
    <w:p>
      <w:pPr>
        <w:ind w:firstLine="480"/>
      </w:pPr>
      <w:r>
        <w:rPr>
          <w:rFonts w:hint="eastAsia"/>
        </w:rPr>
        <w:t>基期指评价期计算的前一年（第零年）的年底，是经济评价的起点。</w:t>
      </w:r>
    </w:p>
    <w:p>
      <w:pPr>
        <w:pStyle w:val="3"/>
        <w:spacing w:before="163" w:after="163"/>
      </w:pPr>
      <w:bookmarkStart w:id="15" w:name="_Hlk150158241"/>
      <w:bookmarkStart w:id="16" w:name="_Hlk146800099"/>
      <w:r>
        <w:t>平准化</w:t>
      </w:r>
      <w:r>
        <w:rPr>
          <w:rFonts w:hint="eastAsia"/>
        </w:rPr>
        <w:t>供给热能</w:t>
      </w:r>
      <w:r>
        <w:t>成本</w:t>
      </w:r>
      <w:r>
        <w:rPr>
          <w:rFonts w:hint="eastAsia"/>
        </w:rPr>
        <w:t xml:space="preserve"> </w:t>
      </w:r>
      <w:r>
        <w:t>levelized cost of energy</w:t>
      </w:r>
    </w:p>
    <w:bookmarkEnd w:id="15"/>
    <w:p>
      <w:pPr>
        <w:ind w:firstLine="480"/>
      </w:pPr>
      <w:r>
        <w:t>平准化</w:t>
      </w:r>
      <w:r>
        <w:rPr>
          <w:rFonts w:hint="eastAsia"/>
        </w:rPr>
        <w:t>供给热能</w:t>
      </w:r>
      <w:r>
        <w:t>成本</w:t>
      </w:r>
      <w:r>
        <w:rPr>
          <w:rFonts w:hint="eastAsia"/>
        </w:rPr>
        <w:t>（</w:t>
      </w:r>
      <m:oMath>
        <m:r>
          <m:rPr>
            <m:sty m:val="bi"/>
          </m:rPr>
          <w:rPr>
            <w:rFonts w:hint="eastAsia" w:ascii="Cambria Math" w:hAnsi="Cambria Math"/>
          </w:rPr>
          <m:t>L</m:t>
        </m:r>
        <m:r>
          <m:rPr>
            <m:sty m:val="bi"/>
          </m:rPr>
          <w:rPr>
            <w:rFonts w:ascii="Cambria Math" w:hAnsi="Cambria Math"/>
          </w:rPr>
          <m:t>COE</m:t>
        </m:r>
      </m:oMath>
      <w:r>
        <w:rPr>
          <w:rFonts w:hint="eastAsia"/>
        </w:rPr>
        <w:t>）是指通过对项目评价期内的现金流出量和供给热能的折现测算的供给热能成本。</w:t>
      </w:r>
    </w:p>
    <w:p>
      <w:pPr>
        <w:pStyle w:val="3"/>
        <w:spacing w:before="163" w:after="163"/>
      </w:pPr>
      <w:r>
        <w:rPr>
          <w:rFonts w:hint="eastAsia"/>
        </w:rPr>
        <w:t xml:space="preserve">供热季 </w:t>
      </w:r>
      <w:r>
        <w:t>heating season</w:t>
      </w:r>
    </w:p>
    <w:p>
      <w:pPr>
        <w:ind w:firstLine="480"/>
      </w:pPr>
      <w:r>
        <w:rPr>
          <w:rFonts w:hint="eastAsia"/>
        </w:rPr>
        <w:t>供热季又称采暖季是指开始供热至供热结束的时间，在供热季因各区域温度的差异，供热开始与结束的时间不同。</w:t>
      </w:r>
    </w:p>
    <w:bookmarkEnd w:id="16"/>
    <w:p>
      <w:pPr>
        <w:pStyle w:val="2"/>
        <w:ind w:left="0" w:firstLine="0"/>
      </w:pPr>
      <w:bookmarkStart w:id="17" w:name="_Toc150108810"/>
      <w:bookmarkEnd w:id="17"/>
      <w:bookmarkStart w:id="18" w:name="_Toc166739127"/>
      <w:r>
        <w:rPr>
          <w:rFonts w:hint="eastAsia"/>
        </w:rPr>
        <w:t>地</w:t>
      </w:r>
      <w:bookmarkStart w:id="19" w:name="_Hlk54513669"/>
      <w:r>
        <w:rPr>
          <w:rFonts w:hint="eastAsia"/>
        </w:rPr>
        <w:t>热供热项目建设方案</w:t>
      </w:r>
      <w:bookmarkEnd w:id="18"/>
      <w:bookmarkEnd w:id="19"/>
    </w:p>
    <w:p>
      <w:pPr>
        <w:pStyle w:val="3"/>
        <w:spacing w:before="163" w:after="163"/>
        <w:rPr>
          <w:rFonts w:asciiTheme="minorHAnsi" w:hAnsiTheme="minorHAnsi" w:cstheme="minorBidi"/>
          <w:szCs w:val="22"/>
        </w:rPr>
      </w:pPr>
      <w:r>
        <w:rPr>
          <w:rFonts w:hint="eastAsia"/>
        </w:rPr>
        <w:t>地热资源</w:t>
      </w:r>
    </w:p>
    <w:p>
      <w:pPr>
        <w:ind w:firstLine="480"/>
      </w:pPr>
      <w:r>
        <w:rPr>
          <w:rFonts w:hint="eastAsia"/>
        </w:rPr>
        <w:t>地热供热项目建设方案设计以地热资源勘查评价的结果为依据。</w:t>
      </w:r>
    </w:p>
    <w:p>
      <w:pPr>
        <w:pStyle w:val="3"/>
        <w:spacing w:before="163" w:after="163"/>
        <w:rPr>
          <w:rFonts w:asciiTheme="minorHAnsi" w:hAnsiTheme="minorHAnsi" w:cstheme="minorBidi"/>
          <w:szCs w:val="22"/>
        </w:rPr>
      </w:pPr>
      <w:r>
        <w:rPr>
          <w:rFonts w:hint="eastAsia" w:asciiTheme="minorHAnsi" w:hAnsiTheme="minorHAnsi" w:cstheme="minorBidi"/>
          <w:szCs w:val="22"/>
        </w:rPr>
        <w:t>供给热能</w:t>
      </w:r>
    </w:p>
    <w:p>
      <w:pPr>
        <w:ind w:firstLine="480"/>
      </w:pPr>
      <w:r>
        <w:rPr>
          <w:rFonts w:hint="eastAsia"/>
        </w:rPr>
        <w:t>地热供热项目供给热能，依据</w:t>
      </w:r>
      <w:r>
        <w:rPr>
          <w:rFonts w:hint="eastAsia" w:asciiTheme="minorHAnsi" w:hAnsiTheme="minorHAnsi" w:cstheme="minorBidi"/>
          <w:szCs w:val="22"/>
        </w:rPr>
        <w:t>供暖</w:t>
      </w:r>
      <w:r>
        <w:rPr>
          <w:rFonts w:hint="eastAsia"/>
        </w:rPr>
        <w:t>建筑采暖热负荷进行测算。</w:t>
      </w:r>
    </w:p>
    <w:p>
      <w:pPr>
        <w:pStyle w:val="3"/>
        <w:spacing w:before="163" w:after="163"/>
        <w:rPr>
          <w:rFonts w:asciiTheme="minorHAnsi" w:hAnsiTheme="minorHAnsi" w:cstheme="minorBidi"/>
          <w:szCs w:val="22"/>
        </w:rPr>
      </w:pPr>
      <w:r>
        <w:rPr>
          <w:rFonts w:hint="eastAsia"/>
        </w:rPr>
        <w:t>供暖建筑采暖热负荷</w:t>
      </w:r>
    </w:p>
    <w:p>
      <w:pPr>
        <w:ind w:firstLine="480"/>
        <w:rPr>
          <w:rFonts w:asciiTheme="minorHAnsi" w:hAnsiTheme="minorHAnsi" w:cstheme="minorBidi"/>
          <w:szCs w:val="22"/>
        </w:rPr>
      </w:pPr>
      <w:r>
        <w:rPr>
          <w:rFonts w:hint="eastAsia" w:asciiTheme="minorHAnsi" w:hAnsiTheme="minorHAnsi" w:cstheme="minorBidi"/>
          <w:szCs w:val="22"/>
        </w:rPr>
        <w:t>供暖建筑采暖热负荷依据居民建筑热负荷及非居民建筑热负荷进行计算。</w:t>
      </w:r>
    </w:p>
    <w:p>
      <w:pPr>
        <w:pStyle w:val="4"/>
      </w:pPr>
      <w:r>
        <w:rPr>
          <w:rFonts w:hint="eastAsia"/>
        </w:rPr>
        <w:t>地热供热项目供暖建筑的热能耗</w:t>
      </w:r>
    </w:p>
    <w:p>
      <w:pPr>
        <w:ind w:firstLine="480"/>
      </w:pPr>
      <w:r>
        <w:rPr>
          <w:rFonts w:hint="eastAsia"/>
        </w:rPr>
        <w:t>地热供热项目供暖建筑的热能耗的测算按</w:t>
      </w:r>
      <w:r>
        <w:t>照《民用</w:t>
      </w:r>
      <w:r>
        <w:rPr>
          <w:rFonts w:hint="eastAsia"/>
        </w:rPr>
        <w:t>建筑供热通风与空气调节设计规范》确定供热季主要城市的热能耗室外温度计算参数。</w:t>
      </w:r>
    </w:p>
    <w:p>
      <w:pPr>
        <w:pStyle w:val="54"/>
      </w:pPr>
      <w:r>
        <w:rPr>
          <w:rFonts w:hint="eastAsia"/>
        </w:rPr>
        <w:t>供热室外计算温度采用统计年份日平均温度计算。</w:t>
      </w:r>
    </w:p>
    <w:p>
      <w:pPr>
        <w:pStyle w:val="54"/>
      </w:pPr>
      <w:r>
        <w:rPr>
          <w:rFonts w:hint="eastAsia"/>
        </w:rPr>
        <w:t>供热季通风室外最低计算温度，应采用统计年份最冷月最低温度的平均值。</w:t>
      </w:r>
    </w:p>
    <w:p>
      <w:pPr>
        <w:pStyle w:val="54"/>
      </w:pPr>
      <w:r>
        <w:rPr>
          <w:rFonts w:hint="eastAsia"/>
        </w:rPr>
        <w:t>设计供热季天数，照按主要城市供热起始时间计算。</w:t>
      </w:r>
    </w:p>
    <w:p>
      <w:pPr>
        <w:pStyle w:val="54"/>
      </w:pPr>
      <w:r>
        <w:rPr>
          <w:rFonts w:hint="eastAsia"/>
        </w:rPr>
        <w:t>室外计算温度的统</w:t>
      </w:r>
      <w:r>
        <w:rPr>
          <w:rFonts w:ascii="Times New Roman" w:hAnsi="Times New Roman" w:cs="Times New Roman"/>
        </w:rPr>
        <w:t>计年份取30年。不足30年，可按实有年份采用，但不得少于10年</w:t>
      </w:r>
      <w:r>
        <w:rPr>
          <w:rFonts w:hint="eastAsia"/>
        </w:rPr>
        <w:t>。</w:t>
      </w:r>
    </w:p>
    <w:p>
      <w:pPr>
        <w:pStyle w:val="4"/>
      </w:pPr>
      <w:r>
        <w:rPr>
          <w:rFonts w:hint="eastAsia"/>
        </w:rPr>
        <w:t>地热供热项目供热需求</w:t>
      </w:r>
    </w:p>
    <w:p>
      <w:pPr>
        <w:pStyle w:val="54"/>
        <w:numPr>
          <w:ilvl w:val="0"/>
          <w:numId w:val="9"/>
        </w:numPr>
      </w:pPr>
      <w:r>
        <w:rPr>
          <w:rFonts w:hint="eastAsia"/>
        </w:rPr>
        <w:t>地热供热项目供暖面积依据主要城市取暖费标准分为居民供热面积和非居民供热面积两类。</w:t>
      </w:r>
    </w:p>
    <w:p>
      <w:pPr>
        <w:pStyle w:val="54"/>
        <w:numPr>
          <w:ilvl w:val="0"/>
          <w:numId w:val="9"/>
        </w:numPr>
      </w:pPr>
      <w:r>
        <w:rPr>
          <w:rFonts w:hint="eastAsia"/>
        </w:rPr>
        <w:t>按照</w:t>
      </w:r>
      <w:r>
        <w:rPr>
          <w:rFonts w:ascii="Times New Roman" w:hAnsi="Times New Roman" w:cs="Times New Roman"/>
        </w:rPr>
        <w:t>《民用建筑供热通风与空气调节设计规范》确定</w:t>
      </w:r>
      <w:r>
        <w:rPr>
          <w:rFonts w:hint="eastAsia" w:ascii="Times New Roman" w:hAnsi="Times New Roman" w:cs="Times New Roman"/>
        </w:rPr>
        <w:t>供暖室内</w:t>
      </w:r>
      <w:r>
        <w:rPr>
          <w:rFonts w:ascii="Times New Roman" w:hAnsi="Times New Roman" w:cs="Times New Roman"/>
        </w:rPr>
        <w:t>温度</w:t>
      </w:r>
      <w:r>
        <w:rPr>
          <w:rFonts w:hint="eastAsia"/>
        </w:rPr>
        <w:t>。</w:t>
      </w:r>
    </w:p>
    <w:p>
      <w:pPr>
        <w:pStyle w:val="4"/>
      </w:pPr>
      <w:r>
        <w:rPr>
          <w:rFonts w:hint="eastAsia"/>
        </w:rPr>
        <w:t>终端供暖循环水温度</w:t>
      </w:r>
    </w:p>
    <w:p>
      <w:pPr>
        <w:ind w:firstLine="480"/>
      </w:pPr>
      <w:r>
        <w:rPr>
          <w:rFonts w:hint="eastAsia"/>
        </w:rPr>
        <w:t>地热供热项目终端供暖循环水供回水温度的设计要结合工程条件，考虑热能供给、供热管线、末端装置系统等方面的因素，通过技术性能、投资价值比较分析确定，按照热能供给要求执行。</w:t>
      </w:r>
    </w:p>
    <w:p>
      <w:pPr>
        <w:pStyle w:val="4"/>
      </w:pPr>
      <w:r>
        <w:rPr>
          <w:rFonts w:hint="eastAsia"/>
        </w:rPr>
        <w:t>供暖热负荷</w:t>
      </w:r>
    </w:p>
    <w:p>
      <w:pPr>
        <w:ind w:firstLine="480"/>
      </w:pPr>
      <w:r>
        <w:rPr>
          <w:rFonts w:hint="eastAsia"/>
        </w:rPr>
        <w:t>地热供热项目的热负荷按照不同供热建筑热能耗指标、建筑面积进行计算。</w:t>
      </w:r>
    </w:p>
    <w:p>
      <w:pPr>
        <w:pStyle w:val="4"/>
      </w:pPr>
      <w:r>
        <w:rPr>
          <w:rFonts w:hint="eastAsia"/>
        </w:rPr>
        <w:t>终端采暖循环水流量　</w:t>
      </w:r>
    </w:p>
    <w:p>
      <w:pPr>
        <w:ind w:firstLine="480"/>
      </w:pPr>
      <w:r>
        <w:rPr>
          <w:rFonts w:hint="eastAsia"/>
        </w:rPr>
        <w:t>地热供热项目采暖循环水流量按照供暖热负荷、供暖循环水供回水温度计算。</w:t>
      </w:r>
      <w:bookmarkStart w:id="20" w:name="_Hlk166654940"/>
      <w:bookmarkStart w:id="21" w:name="_Hlk150710027"/>
    </w:p>
    <w:p>
      <w:pPr>
        <w:pStyle w:val="3"/>
        <w:spacing w:before="163" w:after="163"/>
        <w:ind w:left="0"/>
      </w:pPr>
      <w:r>
        <w:rPr>
          <w:rFonts w:hint="eastAsia"/>
        </w:rPr>
        <w:t>地热供热项目建设方案</w:t>
      </w:r>
      <w:bookmarkEnd w:id="20"/>
      <w:r>
        <w:rPr>
          <w:rFonts w:hint="eastAsia"/>
        </w:rPr>
        <w:t>设计与优选</w:t>
      </w:r>
    </w:p>
    <w:bookmarkEnd w:id="21"/>
    <w:p>
      <w:pPr>
        <w:pStyle w:val="21"/>
        <w:ind w:firstLine="480"/>
      </w:pPr>
      <w:r>
        <w:rPr>
          <w:rFonts w:hint="eastAsia"/>
        </w:rPr>
        <w:t>地热供热项目建设方案设计包括地热资源评价基础信息、供暖热负荷测算、采灌井部署、地热能供给、热泵调峰、基础工程建设方案等6部分。建设方案设计要依据不同的热泵调峰方案，进行采灌井部署、热能供给方案设计，形成多种建设方案。建设方案的设计应不少于</w:t>
      </w:r>
      <w:r>
        <w:t>20</w:t>
      </w:r>
      <w:r>
        <w:rPr>
          <w:rFonts w:hint="eastAsia"/>
        </w:rPr>
        <w:t>个。并分别测算地热供热项目建设投资、运营成本、经济效益、平准化供给热能成本。按照不同建设方案测算的效益指标、平准化供给热能成本进行地热供热项目建设方案的优选。</w:t>
      </w:r>
    </w:p>
    <w:p>
      <w:pPr>
        <w:pStyle w:val="4"/>
        <w:ind w:left="0"/>
      </w:pPr>
      <w:r>
        <w:rPr>
          <w:rFonts w:hint="eastAsia"/>
        </w:rPr>
        <w:t>地热供热项目建设方案优选</w:t>
      </w:r>
    </w:p>
    <w:p>
      <w:pPr>
        <w:pStyle w:val="54"/>
        <w:numPr>
          <w:ilvl w:val="0"/>
          <w:numId w:val="10"/>
        </w:numPr>
      </w:pPr>
      <w:r>
        <w:rPr>
          <w:rFonts w:hint="eastAsia"/>
        </w:rPr>
        <w:t>地热供热项目建设方案投资结构分析</w:t>
      </w:r>
    </w:p>
    <w:p>
      <w:pPr>
        <w:ind w:firstLine="480"/>
      </w:pPr>
      <w:r>
        <w:rPr>
          <w:rFonts w:hint="eastAsia"/>
        </w:rPr>
        <w:t>要依据热泵调峰方案对钻井工程方案的影响，分析热泵调峰占比对项目建设投资结构及建设投资的影响。</w:t>
      </w:r>
    </w:p>
    <w:p>
      <w:pPr>
        <w:pStyle w:val="54"/>
        <w:numPr>
          <w:ilvl w:val="0"/>
          <w:numId w:val="10"/>
        </w:numPr>
      </w:pPr>
      <w:r>
        <w:rPr>
          <w:rFonts w:hint="eastAsia"/>
        </w:rPr>
        <w:t>地热供热项目运营成本分析</w:t>
      </w:r>
    </w:p>
    <w:p>
      <w:pPr>
        <w:ind w:firstLine="480"/>
      </w:pPr>
      <w:r>
        <w:rPr>
          <w:rFonts w:hint="eastAsia"/>
        </w:rPr>
        <w:t>要依据热泵调峰方案对地热供热项目运营成本的影响，分析热泵调峰占比对项目运营的影响。</w:t>
      </w:r>
    </w:p>
    <w:p>
      <w:pPr>
        <w:pStyle w:val="54"/>
        <w:numPr>
          <w:ilvl w:val="0"/>
          <w:numId w:val="10"/>
        </w:numPr>
      </w:pPr>
      <w:r>
        <w:rPr>
          <w:rFonts w:hint="eastAsia"/>
        </w:rPr>
        <w:t>地热供热项目建设方案效益分析</w:t>
      </w:r>
    </w:p>
    <w:p>
      <w:pPr>
        <w:ind w:firstLine="480"/>
      </w:pPr>
      <w:r>
        <w:rPr>
          <w:rFonts w:hint="eastAsia"/>
        </w:rPr>
        <w:t>要基于热泵调峰方案对项目建设投资、运营成本的影响，分析热泵调峰占比对效益指标、平准化供给热能成本的影响。</w:t>
      </w:r>
    </w:p>
    <w:p>
      <w:pPr>
        <w:pStyle w:val="54"/>
        <w:numPr>
          <w:ilvl w:val="0"/>
          <w:numId w:val="10"/>
        </w:numPr>
      </w:pPr>
      <w:r>
        <w:rPr>
          <w:rFonts w:hint="eastAsia"/>
        </w:rPr>
        <w:t>地热供热项目建设方案优选</w:t>
      </w:r>
    </w:p>
    <w:p>
      <w:pPr>
        <w:pStyle w:val="4"/>
        <w:ind w:left="0"/>
      </w:pPr>
      <w:r>
        <w:rPr>
          <w:rFonts w:hint="eastAsia"/>
        </w:rPr>
        <w:t>按照效益指标最大、平准化供给热能成本最低的原则进行地热供热项目建设方案的优选。</w:t>
      </w:r>
    </w:p>
    <w:p>
      <w:pPr>
        <w:pStyle w:val="4"/>
        <w:ind w:left="0"/>
      </w:pPr>
      <w:r>
        <w:rPr>
          <w:rFonts w:hint="eastAsia"/>
        </w:rPr>
        <w:t>运营成本优化</w:t>
      </w:r>
    </w:p>
    <w:p>
      <w:pPr>
        <w:ind w:firstLine="480"/>
      </w:pPr>
      <w:r>
        <w:rPr>
          <w:rFonts w:hint="eastAsia"/>
        </w:rPr>
        <w:t>依据供热季气象条件和供热需求，热能供给要按照每天的气象条件进行测算，进行科学供热。</w:t>
      </w:r>
    </w:p>
    <w:p>
      <w:pPr>
        <w:ind w:firstLine="480"/>
      </w:pPr>
      <w:r>
        <w:rPr>
          <w:rFonts w:hint="eastAsia"/>
        </w:rPr>
        <w:t>依据供给暖季气象条件下的热能耗确定热能供给方案，并测算不同调峰占比、不同供热方案条件下的项目运营成本，对项目运营成本进行优化，进行项目运行成本控制。</w:t>
      </w:r>
      <w:bookmarkStart w:id="22" w:name="_Toc44678029"/>
      <w:bookmarkStart w:id="23" w:name="_Toc17699"/>
    </w:p>
    <w:bookmarkEnd w:id="22"/>
    <w:bookmarkEnd w:id="23"/>
    <w:p>
      <w:pPr>
        <w:pStyle w:val="3"/>
        <w:spacing w:before="163" w:after="163"/>
      </w:pPr>
      <w:r>
        <w:rPr>
          <w:rFonts w:hint="eastAsia"/>
        </w:rPr>
        <w:t>热能供给方案</w:t>
      </w:r>
    </w:p>
    <w:p>
      <w:pPr>
        <w:ind w:firstLine="480"/>
      </w:pPr>
      <w:r>
        <w:rPr>
          <w:rFonts w:hint="eastAsia"/>
        </w:rPr>
        <w:t>基于供给热能测算结果采用热泵调峰方案进行热能供给。</w:t>
      </w:r>
    </w:p>
    <w:p>
      <w:pPr>
        <w:pStyle w:val="4"/>
      </w:pPr>
      <w:r>
        <w:rPr>
          <w:rFonts w:hint="eastAsia"/>
        </w:rPr>
        <w:t>热能供给方案</w:t>
      </w:r>
    </w:p>
    <w:p>
      <w:pPr>
        <w:pStyle w:val="78"/>
      </w:pPr>
      <w:r>
        <w:rPr>
          <w:rFonts w:hint="eastAsia"/>
        </w:rPr>
        <w:t>地热供热项目单位时间内的热能供给应等于采暖热负荷；供热季累计热能供给量按照逐时供热计算</w:t>
      </w:r>
      <w:bookmarkStart w:id="24" w:name="_Toc150108816"/>
      <w:bookmarkEnd w:id="24"/>
    </w:p>
    <w:p>
      <w:pPr>
        <w:pStyle w:val="4"/>
        <w:ind w:left="0"/>
      </w:pPr>
      <w:r>
        <w:rPr>
          <w:rFonts w:hint="eastAsia"/>
        </w:rPr>
        <w:t>热泵调峰方案</w:t>
      </w:r>
    </w:p>
    <w:p>
      <w:pPr>
        <w:ind w:firstLine="480"/>
      </w:pPr>
      <w:r>
        <w:rPr>
          <w:rFonts w:hint="eastAsia"/>
        </w:rPr>
        <w:t>地热供热项目热泵调峰方案是按照供热季逐时的气温条件设计。设计条件为供热季历史（不少于1</w:t>
      </w:r>
      <w:r>
        <w:t>0</w:t>
      </w:r>
      <w:r>
        <w:rPr>
          <w:rFonts w:hint="eastAsia"/>
        </w:rPr>
        <w:t>年）逐时气温的统计数据、采暖热负荷计算数据；热泵调峰方案内容包括调峰热泵启动/关停室外温度、热泵调峰运行时间、热泵调峰占比、供热季调峰热能、供热季调峰热能占比。</w:t>
      </w:r>
    </w:p>
    <w:p>
      <w:pPr>
        <w:pStyle w:val="54"/>
        <w:numPr>
          <w:ilvl w:val="0"/>
          <w:numId w:val="11"/>
        </w:numPr>
        <w:ind w:left="0" w:firstLine="442"/>
      </w:pPr>
      <w:r>
        <w:rPr>
          <w:rFonts w:hint="eastAsia"/>
        </w:rPr>
        <w:t>供热季气温条件</w:t>
      </w:r>
    </w:p>
    <w:p>
      <w:pPr>
        <w:ind w:firstLine="480"/>
      </w:pPr>
      <w:r>
        <w:rPr>
          <w:rFonts w:hint="eastAsia"/>
        </w:rPr>
        <w:t>供热季气温条件包括供热季起始时间、供热时间，及室外最高温度、平均温度、最低温度。</w:t>
      </w:r>
    </w:p>
    <w:p>
      <w:pPr>
        <w:pStyle w:val="54"/>
        <w:numPr>
          <w:ilvl w:val="0"/>
          <w:numId w:val="11"/>
        </w:numPr>
        <w:ind w:left="0" w:firstLine="442"/>
      </w:pPr>
      <w:r>
        <w:rPr>
          <w:rFonts w:hint="eastAsia"/>
        </w:rPr>
        <w:t>热泵调峰方案</w:t>
      </w:r>
    </w:p>
    <w:p>
      <w:pPr>
        <w:ind w:firstLine="480"/>
      </w:pPr>
      <w:r>
        <w:rPr>
          <w:rFonts w:hint="eastAsia"/>
        </w:rPr>
        <w:t>热泵调峰方案要依据供热季气温条件进行多方案设计，方案内容应包括热能需求、热泵启停气温、热泵调峰时间、热泵调峰占比、调峰热能占比、调峰热能、供给热能等内容。</w:t>
      </w:r>
    </w:p>
    <w:p>
      <w:pPr>
        <w:pStyle w:val="75"/>
        <w:ind w:left="0" w:firstLine="480" w:firstLineChars="200"/>
      </w:pPr>
      <w:r>
        <w:rPr>
          <w:rFonts w:hint="eastAsia"/>
        </w:rPr>
        <w:t>热泵调峰占比</w:t>
      </w:r>
    </w:p>
    <w:p>
      <w:pPr>
        <w:ind w:firstLine="480"/>
      </w:pPr>
      <w:r>
        <w:rPr>
          <w:rFonts w:hint="eastAsia"/>
        </w:rPr>
        <w:t>热泵调峰占比是指供热季室外温度最低的情景下，热泵调峰供给热能占采暖热负荷的比例，依据调峰热泵启停控制温度、供热季最低室外温度进行计算。</w:t>
      </w:r>
    </w:p>
    <w:p>
      <w:pPr>
        <w:pStyle w:val="75"/>
        <w:ind w:left="0" w:firstLine="480" w:firstLineChars="200"/>
      </w:pPr>
      <w:r>
        <w:rPr>
          <w:rFonts w:hint="eastAsia"/>
        </w:rPr>
        <w:t>热泵调峰热能</w:t>
      </w:r>
    </w:p>
    <w:p>
      <w:pPr>
        <w:ind w:firstLine="480"/>
      </w:pPr>
      <w:r>
        <w:rPr>
          <w:rFonts w:hint="eastAsia"/>
        </w:rPr>
        <w:t>在调峰热泵启停温度确定的条件下，热泵调峰热能应按照逐时的热泵调峰热能计算。</w:t>
      </w:r>
    </w:p>
    <w:p>
      <w:pPr>
        <w:pStyle w:val="75"/>
        <w:ind w:left="0" w:firstLine="480" w:firstLineChars="200"/>
      </w:pPr>
      <w:r>
        <w:rPr>
          <w:rFonts w:hint="eastAsia"/>
        </w:rPr>
        <w:t>热泵调峰热能占比</w:t>
      </w:r>
    </w:p>
    <w:p>
      <w:pPr>
        <w:ind w:firstLine="480"/>
      </w:pPr>
      <w:r>
        <w:rPr>
          <w:rFonts w:hint="eastAsia"/>
        </w:rPr>
        <w:t>热泵调峰热能占比是指调峰热能占热能供给的比例，按照热泵调峰累计供给热能、供热季累计供给热能进行计算。</w:t>
      </w:r>
    </w:p>
    <w:p>
      <w:pPr>
        <w:pStyle w:val="3"/>
        <w:spacing w:before="163" w:after="163"/>
      </w:pPr>
      <w:r>
        <w:rPr>
          <w:rFonts w:hint="eastAsia"/>
        </w:rPr>
        <w:t>地热能开采利用方案</w:t>
      </w:r>
    </w:p>
    <w:p>
      <w:pPr>
        <w:ind w:firstLine="480"/>
      </w:pPr>
      <w:r>
        <w:rPr>
          <w:rFonts w:hint="eastAsia"/>
        </w:rPr>
        <w:t>地热能开采利用方案是指在热能供给方案条件下，确定的地热水开采和地热能利用方案。主要内容包括地热水最大产量、采灌井数、调峰热泵功率、换热板面积等。</w:t>
      </w:r>
    </w:p>
    <w:p>
      <w:pPr>
        <w:pStyle w:val="4"/>
      </w:pPr>
      <w:bookmarkStart w:id="25" w:name="_Toc150108823"/>
      <w:bookmarkEnd w:id="25"/>
      <w:r>
        <w:rPr>
          <w:rFonts w:hint="eastAsia"/>
        </w:rPr>
        <w:t>钻井工程建设方案</w:t>
      </w:r>
    </w:p>
    <w:p>
      <w:pPr>
        <w:ind w:firstLine="480"/>
      </w:pPr>
      <w:r>
        <w:rPr>
          <w:rFonts w:hint="eastAsia"/>
        </w:rPr>
        <w:t>钻井工程建设方案是依据地热水最大产量、最大开井率、地热尾水回灌率确定的采灌井部署方案。</w:t>
      </w:r>
    </w:p>
    <w:p>
      <w:pPr>
        <w:pStyle w:val="54"/>
        <w:numPr>
          <w:ilvl w:val="0"/>
          <w:numId w:val="12"/>
        </w:numPr>
        <w:ind w:left="0" w:firstLine="420"/>
      </w:pPr>
      <w:r>
        <w:rPr>
          <w:rFonts w:hint="eastAsia"/>
        </w:rPr>
        <w:t>地热水最大产量</w:t>
      </w:r>
    </w:p>
    <w:p>
      <w:pPr>
        <w:ind w:firstLine="480"/>
      </w:pPr>
      <w:r>
        <w:rPr>
          <w:rFonts w:hint="eastAsia"/>
        </w:rPr>
        <w:t>地热水最大产量是调峰热泵启动时地热水直接换热供热需要的地热水产量，按照供热建筑热负荷、热泵调峰占比、地热水温度、地热尾水温度进行计算。</w:t>
      </w:r>
    </w:p>
    <w:p>
      <w:pPr>
        <w:pStyle w:val="54"/>
        <w:numPr>
          <w:ilvl w:val="0"/>
          <w:numId w:val="12"/>
        </w:numPr>
        <w:ind w:left="0" w:firstLine="420"/>
      </w:pPr>
      <w:r>
        <w:rPr>
          <w:rFonts w:hint="eastAsia"/>
        </w:rPr>
        <w:t>采灌井数</w:t>
      </w:r>
    </w:p>
    <w:p>
      <w:pPr>
        <w:ind w:firstLine="480"/>
      </w:pPr>
      <w:r>
        <w:rPr>
          <w:rFonts w:hint="eastAsia"/>
        </w:rPr>
        <w:t>采灌井数依据最大地热水产量需求、最大开井率、地热尾水回灌率进行计算。计算。</w:t>
      </w:r>
    </w:p>
    <w:p>
      <w:pPr>
        <w:pStyle w:val="54"/>
        <w:numPr>
          <w:ilvl w:val="0"/>
          <w:numId w:val="12"/>
        </w:numPr>
        <w:ind w:left="0" w:firstLine="420"/>
        <w:rPr>
          <w:rFonts w:ascii="Times New Roman" w:hAnsi="Times New Roman" w:cs="Times New Roman"/>
        </w:rPr>
      </w:pPr>
      <w:r>
        <w:rPr>
          <w:rFonts w:hint="eastAsia"/>
        </w:rPr>
        <w:t>采灌井设计</w:t>
      </w:r>
    </w:p>
    <w:p>
      <w:pPr>
        <w:ind w:firstLine="480"/>
      </w:pPr>
      <w:r>
        <w:rPr>
          <w:rFonts w:hint="eastAsia"/>
        </w:rPr>
        <w:t>采灌井钻井工程设计按照采灌同侧的原则，依据《地源热泵系统工程技术规范》、《</w:t>
      </w:r>
      <w:r>
        <w:t>地热回灌技术要求</w:t>
      </w:r>
      <w:r>
        <w:rPr>
          <w:rFonts w:hint="eastAsia"/>
        </w:rPr>
        <w:t>》的相关规定进行设计。地热尾水回灌率按照地域环境保护要求，依据累计的地热水产出量和累计的地热尾水回灌量进行计算。</w:t>
      </w:r>
    </w:p>
    <w:p>
      <w:pPr>
        <w:pStyle w:val="4"/>
      </w:pPr>
      <w:r>
        <w:rPr>
          <w:rFonts w:hint="eastAsia"/>
        </w:rPr>
        <w:t>热能利用方案</w:t>
      </w:r>
    </w:p>
    <w:p>
      <w:pPr>
        <w:ind w:firstLine="480"/>
      </w:pPr>
      <w:r>
        <w:rPr>
          <w:rFonts w:hint="eastAsia"/>
        </w:rPr>
        <w:t>热能利用方案主要包括换热方案、热泵调峰方案。</w:t>
      </w:r>
    </w:p>
    <w:p>
      <w:pPr>
        <w:pStyle w:val="54"/>
        <w:numPr>
          <w:ilvl w:val="0"/>
          <w:numId w:val="13"/>
        </w:numPr>
        <w:ind w:left="0" w:firstLine="420"/>
      </w:pPr>
      <w:r>
        <w:rPr>
          <w:rFonts w:hint="eastAsia"/>
        </w:rPr>
        <w:t>换热器定制</w:t>
      </w:r>
    </w:p>
    <w:p>
      <w:pPr>
        <w:ind w:firstLine="480"/>
      </w:pPr>
      <w:r>
        <w:rPr>
          <w:rFonts w:hint="eastAsia"/>
        </w:rPr>
        <w:t>主要依据地热能供给供回水流量、换热板面积、供回水温差等主要参数定制板式换热器。</w:t>
      </w:r>
    </w:p>
    <w:p>
      <w:pPr>
        <w:pStyle w:val="75"/>
        <w:numPr>
          <w:ilvl w:val="0"/>
          <w:numId w:val="14"/>
        </w:numPr>
        <w:ind w:left="0" w:firstLine="567"/>
      </w:pPr>
      <w:bookmarkStart w:id="26" w:name="_Hlk150705262"/>
      <w:r>
        <w:rPr>
          <w:rFonts w:hint="eastAsia"/>
        </w:rPr>
        <w:t>地热能供给供回水流量</w:t>
      </w:r>
    </w:p>
    <w:bookmarkEnd w:id="26"/>
    <w:p>
      <w:pPr>
        <w:ind w:firstLine="480"/>
      </w:pPr>
      <w:r>
        <w:rPr>
          <w:rFonts w:hint="eastAsia"/>
        </w:rPr>
        <w:t>板式换热器地热能供给供回水流量依据采暖季最大采暖热负荷和供回水温差计算。</w:t>
      </w:r>
    </w:p>
    <w:p>
      <w:pPr>
        <w:pStyle w:val="75"/>
        <w:numPr>
          <w:ilvl w:val="0"/>
          <w:numId w:val="14"/>
        </w:numPr>
        <w:ind w:left="0" w:firstLine="567"/>
      </w:pPr>
      <w:r>
        <w:rPr>
          <w:rFonts w:hint="eastAsia"/>
        </w:rPr>
        <w:t>板式换热器换热板面积</w:t>
      </w:r>
    </w:p>
    <w:p>
      <w:pPr>
        <w:pStyle w:val="78"/>
      </w:pPr>
      <w:r>
        <w:rPr>
          <w:rFonts w:hint="eastAsia"/>
        </w:rPr>
        <w:t>依据最大供给热能、地热水温度、地热尾水温度；以及采暖</w:t>
      </w:r>
      <w:r>
        <w:rPr>
          <w:rFonts w:hint="eastAsia" w:ascii="Times New Roman" w:hAnsi="Times New Roman"/>
          <w:lang w:val="en-US"/>
        </w:rPr>
        <w:t>供回水温度</w:t>
      </w:r>
      <w:r>
        <w:rPr>
          <w:rFonts w:hint="eastAsia"/>
        </w:rPr>
        <w:t>计算。</w:t>
      </w:r>
    </w:p>
    <w:p>
      <w:pPr>
        <w:pStyle w:val="75"/>
        <w:numPr>
          <w:ilvl w:val="0"/>
          <w:numId w:val="14"/>
        </w:numPr>
        <w:ind w:left="0" w:firstLine="567"/>
      </w:pPr>
      <w:r>
        <w:rPr>
          <w:rFonts w:hint="eastAsia"/>
        </w:rPr>
        <w:t>地热尾水温度</w:t>
      </w:r>
    </w:p>
    <w:p>
      <w:pPr>
        <w:ind w:firstLine="480"/>
      </w:pPr>
      <w:r>
        <w:rPr>
          <w:rFonts w:hint="eastAsia"/>
        </w:rPr>
        <w:t>地热尾水温度是指地热能供给供水回温度，由换热器供回水温差确定，不低于地热供热末端采暖回水温度。</w:t>
      </w:r>
    </w:p>
    <w:p>
      <w:pPr>
        <w:pStyle w:val="54"/>
        <w:numPr>
          <w:ilvl w:val="0"/>
          <w:numId w:val="13"/>
        </w:numPr>
        <w:ind w:left="0" w:firstLine="420"/>
      </w:pPr>
      <w:r>
        <w:rPr>
          <w:rFonts w:hint="eastAsia"/>
        </w:rPr>
        <w:t>调峰热泵定制</w:t>
      </w:r>
    </w:p>
    <w:p>
      <w:pPr>
        <w:pStyle w:val="78"/>
      </w:pPr>
      <w:r>
        <w:rPr>
          <w:rFonts w:hint="eastAsia"/>
        </w:rPr>
        <w:t>按照地热供热最大调峰热能定制调峰热泵机组。</w:t>
      </w:r>
    </w:p>
    <w:p>
      <w:pPr>
        <w:pStyle w:val="4"/>
        <w:rPr>
          <w:shd w:val="clear" w:color="auto" w:fill="FFFFFF"/>
        </w:rPr>
      </w:pPr>
      <w:r>
        <w:rPr>
          <w:rFonts w:hint="eastAsia"/>
          <w:shd w:val="clear" w:color="auto" w:fill="FFFFFF"/>
        </w:rPr>
        <w:t>地热能开发利用率</w:t>
      </w:r>
    </w:p>
    <w:p>
      <w:pPr>
        <w:ind w:firstLine="480"/>
      </w:pPr>
      <w:r>
        <w:rPr>
          <w:rFonts w:hint="eastAsia"/>
        </w:rPr>
        <w:t>地热能开发利用率指累计供给热能占累计开采热能的比例，按照逐时的地热尾水回灌量、平均回灌温度以及地热水产量和温度计算。</w:t>
      </w:r>
    </w:p>
    <w:p>
      <w:pPr>
        <w:pStyle w:val="3"/>
        <w:spacing w:before="163" w:after="163"/>
      </w:pPr>
      <w:r>
        <w:rPr>
          <w:rFonts w:hint="eastAsia"/>
        </w:rPr>
        <w:t>基础工程方案</w:t>
      </w:r>
    </w:p>
    <w:p>
      <w:pPr>
        <w:ind w:firstLine="480"/>
      </w:pPr>
      <w:r>
        <w:rPr>
          <w:rFonts w:hint="eastAsia"/>
        </w:rPr>
        <w:t>地热供热项目基础工程方案包括地热供热集输站、换热站、地热水管网、以及电力、通讯网络等项目的工程建设方案。</w:t>
      </w:r>
    </w:p>
    <w:p>
      <w:pPr>
        <w:pStyle w:val="4"/>
      </w:pPr>
      <w:bookmarkStart w:id="27" w:name="_Hlk150432532"/>
      <w:r>
        <w:rPr>
          <w:rFonts w:hint="eastAsia"/>
        </w:rPr>
        <w:t>地热供热集输站、换热站建设</w:t>
      </w:r>
    </w:p>
    <w:bookmarkEnd w:id="27"/>
    <w:p>
      <w:pPr>
        <w:ind w:firstLine="480"/>
      </w:pPr>
      <w:r>
        <w:rPr>
          <w:rFonts w:hint="eastAsia"/>
        </w:rPr>
        <w:t>地热供热集输站、换热站的建设要满足城镇规划和小区总体规划要求。并符合《建筑设计防火规范》、《声环境质量标准》的规定。</w:t>
      </w:r>
    </w:p>
    <w:p>
      <w:pPr>
        <w:pStyle w:val="4"/>
      </w:pPr>
      <w:r>
        <w:rPr>
          <w:rFonts w:hint="eastAsia"/>
        </w:rPr>
        <w:t>地热水管网的设计和施工</w:t>
      </w:r>
    </w:p>
    <w:p>
      <w:pPr>
        <w:ind w:firstLine="480"/>
      </w:pPr>
      <w:r>
        <w:rPr>
          <w:rFonts w:hint="eastAsia"/>
        </w:rPr>
        <w:t>地热水管网的设计和施工按照《城镇供热管网设计规范》和《</w:t>
      </w:r>
      <w:bookmarkStart w:id="28" w:name="OLE_LINK4"/>
      <w:r>
        <w:rPr>
          <w:rFonts w:hint="eastAsia"/>
        </w:rPr>
        <w:t>城镇供热管网工程施工及验收规范</w:t>
      </w:r>
      <w:bookmarkEnd w:id="28"/>
      <w:r>
        <w:rPr>
          <w:rFonts w:hint="eastAsia"/>
        </w:rPr>
        <w:t>》的规定执行。并符合《城镇供热直埋热水管道技术规程》的规定。</w:t>
      </w:r>
    </w:p>
    <w:p>
      <w:pPr>
        <w:pStyle w:val="4"/>
      </w:pPr>
      <w:r>
        <w:rPr>
          <w:rFonts w:hint="eastAsia"/>
        </w:rPr>
        <w:t>地热供热项目电力、通讯网络建设</w:t>
      </w:r>
    </w:p>
    <w:p>
      <w:pPr>
        <w:ind w:firstLine="480"/>
      </w:pPr>
      <w:r>
        <w:rPr>
          <w:rFonts w:hint="eastAsia"/>
        </w:rPr>
        <w:t>地热供热项目电力、通讯网络建设按照《低压配电设计规范》、《通用用电设备配电设计规范》、《智能建筑设计标准》的规定执行。</w:t>
      </w:r>
    </w:p>
    <w:bookmarkEnd w:id="6"/>
    <w:bookmarkEnd w:id="9"/>
    <w:p>
      <w:pPr>
        <w:pStyle w:val="2"/>
      </w:pPr>
      <w:bookmarkStart w:id="29" w:name="_Toc50197717"/>
      <w:bookmarkEnd w:id="29"/>
      <w:bookmarkStart w:id="30" w:name="_Toc56002283"/>
      <w:bookmarkEnd w:id="30"/>
      <w:bookmarkStart w:id="31" w:name="_Toc1430"/>
      <w:bookmarkStart w:id="32" w:name="_Toc44678017"/>
      <w:bookmarkStart w:id="33" w:name="_Toc166739128"/>
      <w:bookmarkStart w:id="34" w:name="_Toc166739129"/>
      <w:bookmarkStart w:id="35" w:name="_Toc44678027"/>
      <w:bookmarkStart w:id="36" w:name="_Toc26409"/>
      <w:r>
        <w:rPr>
          <w:rFonts w:hint="eastAsia"/>
        </w:rPr>
        <w:t>财务效益与费用估算</w:t>
      </w:r>
      <w:bookmarkEnd w:id="31"/>
      <w:bookmarkEnd w:id="32"/>
      <w:bookmarkEnd w:id="33"/>
    </w:p>
    <w:p>
      <w:pPr>
        <w:pStyle w:val="3"/>
        <w:spacing w:before="163" w:after="163"/>
      </w:pPr>
      <w:bookmarkStart w:id="37" w:name="_Toc150108835"/>
      <w:bookmarkEnd w:id="37"/>
      <w:r>
        <w:rPr>
          <w:rFonts w:hint="eastAsia"/>
        </w:rPr>
        <w:t>收入</w:t>
      </w:r>
    </w:p>
    <w:p>
      <w:pPr>
        <w:pStyle w:val="4"/>
      </w:pPr>
      <w:r>
        <w:rPr>
          <w:rFonts w:hint="eastAsia"/>
        </w:rPr>
        <w:t>营业收入</w:t>
      </w:r>
    </w:p>
    <w:p>
      <w:pPr>
        <w:ind w:firstLine="480"/>
      </w:pPr>
      <w:r>
        <w:rPr>
          <w:rFonts w:hint="eastAsia"/>
        </w:rPr>
        <w:t>按照有关居住建筑供热计量管理办法规定的居民收费标准、非居民收费标准计算营业收入。</w:t>
      </w:r>
    </w:p>
    <w:p>
      <w:pPr>
        <w:pStyle w:val="54"/>
        <w:numPr>
          <w:ilvl w:val="0"/>
          <w:numId w:val="15"/>
        </w:numPr>
      </w:pPr>
      <w:r>
        <w:rPr>
          <w:rFonts w:hint="eastAsia"/>
        </w:rPr>
        <w:t>按供热面积收费</w:t>
      </w:r>
    </w:p>
    <w:p>
      <w:pPr>
        <w:ind w:firstLine="480"/>
      </w:pPr>
      <w:r>
        <w:rPr>
          <w:rFonts w:hint="eastAsia"/>
        </w:rPr>
        <w:t>根据地热供热项目供热合同条款规定的供热价格，按照供热收费面积与供热单价、综合收费率进行计算。</w:t>
      </w:r>
    </w:p>
    <w:p>
      <w:pPr>
        <w:pStyle w:val="54"/>
        <w:numPr>
          <w:ilvl w:val="0"/>
          <w:numId w:val="15"/>
        </w:numPr>
      </w:pPr>
      <w:r>
        <w:rPr>
          <w:rFonts w:hint="eastAsia"/>
        </w:rPr>
        <w:t>按供热量收费</w:t>
      </w:r>
    </w:p>
    <w:p>
      <w:pPr>
        <w:ind w:firstLine="480"/>
      </w:pPr>
      <w:r>
        <w:rPr>
          <w:rFonts w:hint="eastAsia"/>
        </w:rPr>
        <w:t>按供热量收费亦是按供给热能进行收费，根据地热供热项目供热合同条款规定的供热价格，按照供热量进行计算。</w:t>
      </w:r>
    </w:p>
    <w:p>
      <w:pPr>
        <w:pStyle w:val="4"/>
      </w:pPr>
      <w:r>
        <w:rPr>
          <w:rFonts w:hint="eastAsia"/>
        </w:rPr>
        <w:t>政府补贴</w:t>
      </w:r>
    </w:p>
    <w:p>
      <w:pPr>
        <w:ind w:firstLine="480"/>
      </w:pPr>
      <w:r>
        <w:rPr>
          <w:rFonts w:hint="eastAsia"/>
        </w:rPr>
        <w:t>根据项目所在地相关补贴政策，计取建设补贴或运营补贴收入。</w:t>
      </w:r>
    </w:p>
    <w:p>
      <w:pPr>
        <w:pStyle w:val="3"/>
        <w:spacing w:before="163" w:after="163"/>
      </w:pPr>
      <w:r>
        <w:rPr>
          <w:rFonts w:hint="eastAsia"/>
        </w:rPr>
        <w:t>地热供热项目投资</w:t>
      </w:r>
    </w:p>
    <w:p>
      <w:pPr>
        <w:ind w:firstLine="480"/>
      </w:pPr>
      <w:r>
        <w:rPr>
          <w:rFonts w:hint="eastAsia"/>
        </w:rPr>
        <w:t>地热供热项目投资是指项目建设和投入运营所需要的全部投资，由建设投资、建设期的贷款利息和铺底流动资金等3部分构成。不含增值税的项目总投资要减去增值税抵扣额。</w:t>
      </w:r>
    </w:p>
    <w:p>
      <w:pPr>
        <w:pStyle w:val="4"/>
      </w:pPr>
      <w:r>
        <w:rPr>
          <w:rFonts w:hint="eastAsia"/>
        </w:rPr>
        <w:t>建设投资</w:t>
      </w:r>
    </w:p>
    <w:p>
      <w:pPr>
        <w:ind w:firstLine="480"/>
      </w:pPr>
      <w:r>
        <w:rPr>
          <w:rFonts w:hint="eastAsia"/>
        </w:rPr>
        <w:t>建设投资是指地热供热项目全部的建设费用，包括钻井工程建设投资、采灌工程建设投资、基础工程建设投资。</w:t>
      </w:r>
    </w:p>
    <w:p>
      <w:pPr>
        <w:pStyle w:val="54"/>
        <w:numPr>
          <w:ilvl w:val="0"/>
          <w:numId w:val="15"/>
        </w:numPr>
      </w:pPr>
      <w:r>
        <w:rPr>
          <w:rFonts w:hint="eastAsia"/>
        </w:rPr>
        <w:t>钻井工程建设投资</w:t>
      </w:r>
    </w:p>
    <w:p>
      <w:pPr>
        <w:ind w:firstLine="480"/>
      </w:pPr>
      <w:r>
        <w:rPr>
          <w:rFonts w:hint="eastAsia"/>
        </w:rPr>
        <w:t>钻井工程建设投资是指取热水井和回灌井的钻井工程投资费用，包括钻井、录井、测井、完井等工程项目的投资，按照核算的单井投资价格测算。</w:t>
      </w:r>
    </w:p>
    <w:p>
      <w:pPr>
        <w:pStyle w:val="54"/>
        <w:numPr>
          <w:ilvl w:val="0"/>
          <w:numId w:val="15"/>
        </w:numPr>
      </w:pPr>
      <w:r>
        <w:rPr>
          <w:rFonts w:hint="eastAsia"/>
        </w:rPr>
        <w:t>采热回灌工程投资</w:t>
      </w:r>
    </w:p>
    <w:p>
      <w:pPr>
        <w:ind w:firstLine="480"/>
      </w:pPr>
      <w:r>
        <w:rPr>
          <w:rFonts w:hint="eastAsia"/>
        </w:rPr>
        <w:t>包括取热水井和回灌井的井下管柱、井口设备、配套设施的设计、安装费用。</w:t>
      </w:r>
    </w:p>
    <w:p>
      <w:pPr>
        <w:pStyle w:val="54"/>
        <w:numPr>
          <w:ilvl w:val="0"/>
          <w:numId w:val="15"/>
        </w:numPr>
      </w:pPr>
      <w:r>
        <w:rPr>
          <w:rFonts w:hint="eastAsia"/>
        </w:rPr>
        <w:t>基础工程建设投资</w:t>
      </w:r>
    </w:p>
    <w:p>
      <w:pPr>
        <w:ind w:firstLine="480"/>
      </w:pPr>
      <w:r>
        <w:rPr>
          <w:rFonts w:hint="eastAsia"/>
        </w:rPr>
        <w:t>地面工程建设投资包括地热供热集输站、换热站、地热水管网、以及电力、通讯网络等项目的工程建设投资及其他费用和预备费用。</w:t>
      </w:r>
    </w:p>
    <w:p>
      <w:pPr>
        <w:pStyle w:val="4"/>
      </w:pPr>
      <w:r>
        <w:rPr>
          <w:rFonts w:hint="eastAsia"/>
        </w:rPr>
        <w:t>建设期利息</w:t>
      </w:r>
    </w:p>
    <w:p>
      <w:pPr>
        <w:ind w:firstLine="480"/>
      </w:pPr>
      <w:r>
        <w:rPr>
          <w:rFonts w:hint="eastAsia"/>
        </w:rPr>
        <w:t>建设期利息指筹措债务资金时在建设期内发生并按规定允许在投产后计入固定资产原值的利息，即资本化利息，包括银行借款和其他债务资金在建设期内发生的利息。</w:t>
      </w:r>
    </w:p>
    <w:p>
      <w:pPr>
        <w:pStyle w:val="4"/>
      </w:pPr>
      <w:r>
        <w:rPr>
          <w:rFonts w:hint="eastAsia"/>
        </w:rPr>
        <w:t>铺底流动资金</w:t>
      </w:r>
    </w:p>
    <w:p>
      <w:pPr>
        <w:ind w:firstLine="480"/>
      </w:pPr>
      <w:r>
        <w:rPr>
          <w:rStyle w:val="86"/>
          <w:shd w:val="clear" w:color="auto" w:fill="FAFAFA"/>
        </w:rPr>
        <w:t>铺底流动资金</w:t>
      </w:r>
      <w:r>
        <w:rPr>
          <w:rFonts w:hint="eastAsia"/>
        </w:rPr>
        <w:t>是</w:t>
      </w:r>
      <w:r>
        <w:rPr>
          <w:rStyle w:val="86"/>
          <w:shd w:val="clear" w:color="auto" w:fill="FAFAFA"/>
        </w:rPr>
        <w:t>为</w:t>
      </w:r>
      <w:r>
        <w:rPr>
          <w:rStyle w:val="86"/>
          <w:rFonts w:hint="eastAsia"/>
          <w:shd w:val="clear" w:color="auto" w:fill="FAFAFA"/>
        </w:rPr>
        <w:t>保障</w:t>
      </w:r>
      <w:r>
        <w:rPr>
          <w:rStyle w:val="86"/>
          <w:shd w:val="clear" w:color="auto" w:fill="FAFAFA"/>
        </w:rPr>
        <w:t>项目建成后进行试运转所</w:t>
      </w:r>
      <w:r>
        <w:rPr>
          <w:rStyle w:val="86"/>
          <w:rFonts w:hint="eastAsia"/>
          <w:shd w:val="clear" w:color="auto" w:fill="FAFAFA"/>
        </w:rPr>
        <w:t>准备</w:t>
      </w:r>
      <w:r>
        <w:rPr>
          <w:rStyle w:val="86"/>
          <w:shd w:val="clear" w:color="auto" w:fill="FAFAFA"/>
        </w:rPr>
        <w:t>的流动资金，按</w:t>
      </w:r>
      <w:r>
        <w:rPr>
          <w:rStyle w:val="86"/>
          <w:rFonts w:hint="eastAsia"/>
          <w:shd w:val="clear" w:color="auto" w:fill="FAFAFA"/>
        </w:rPr>
        <w:t>地热供热项目</w:t>
      </w:r>
      <w:r>
        <w:rPr>
          <w:rStyle w:val="86"/>
          <w:shd w:val="clear" w:color="auto" w:fill="FAFAFA"/>
        </w:rPr>
        <w:t>建成后所需全部流动资金的30%计算。</w:t>
      </w:r>
    </w:p>
    <w:p>
      <w:pPr>
        <w:pStyle w:val="4"/>
      </w:pPr>
      <w:r>
        <w:rPr>
          <w:rFonts w:hint="eastAsia"/>
        </w:rPr>
        <w:t>资金来源及贷款利率</w:t>
      </w:r>
    </w:p>
    <w:p>
      <w:pPr>
        <w:pStyle w:val="75"/>
        <w:numPr>
          <w:ilvl w:val="0"/>
          <w:numId w:val="16"/>
        </w:numPr>
        <w:ind w:left="960" w:firstLine="480"/>
      </w:pPr>
      <w:r>
        <w:rPr>
          <w:rFonts w:hint="eastAsia"/>
        </w:rPr>
        <w:t>资金来源</w:t>
      </w:r>
    </w:p>
    <w:p>
      <w:pPr>
        <w:ind w:firstLine="480"/>
      </w:pPr>
      <w:r>
        <w:rPr>
          <w:rFonts w:hint="eastAsia"/>
        </w:rPr>
        <w:t>地热供热项目资金筹措方式可分为既有法人融资和新设法人融资。</w:t>
      </w:r>
    </w:p>
    <w:p>
      <w:pPr>
        <w:pStyle w:val="75"/>
        <w:numPr>
          <w:ilvl w:val="0"/>
          <w:numId w:val="16"/>
        </w:numPr>
        <w:ind w:left="960" w:firstLine="480"/>
      </w:pPr>
      <w:r>
        <w:rPr>
          <w:rFonts w:hint="eastAsia"/>
        </w:rPr>
        <w:t>贷款利率</w:t>
      </w:r>
    </w:p>
    <w:p>
      <w:pPr>
        <w:ind w:firstLine="480"/>
      </w:pPr>
      <w:r>
        <w:rPr>
          <w:rFonts w:hint="eastAsia"/>
        </w:rPr>
        <w:t>贷款利率计算时应该根据不同资金来源分别选取。</w:t>
      </w:r>
    </w:p>
    <w:p>
      <w:pPr>
        <w:pStyle w:val="3"/>
        <w:spacing w:before="163" w:after="163"/>
      </w:pPr>
      <w:r>
        <w:rPr>
          <w:rFonts w:hint="eastAsia"/>
        </w:rPr>
        <w:t>弃置成本</w:t>
      </w:r>
    </w:p>
    <w:p>
      <w:pPr>
        <w:ind w:firstLine="480"/>
      </w:pPr>
      <w:r>
        <w:rPr>
          <w:rFonts w:hint="eastAsia"/>
        </w:rPr>
        <w:t>地热供热项目弃置成本主要包括地热井开采</w:t>
      </w:r>
      <w:r>
        <w:t>设施等的弃置和承担的环境保护和</w:t>
      </w:r>
      <w:r>
        <w:fldChar w:fldCharType="begin"/>
      </w:r>
      <w:r>
        <w:instrText xml:space="preserve"> HYPERLINK "https://baike.baidu.com/item/%E7%94%9F%E6%80%81%E6%81%A2%E5%A4%8D/11047901?fromModule=lemma_inlink" \t "https://baike.baidu.com/item/%E5%BC%83%E7%BD%AE%E8%B4%B9%E7%94%A8/_blank" </w:instrText>
      </w:r>
      <w:r>
        <w:fldChar w:fldCharType="separate"/>
      </w:r>
      <w:r>
        <w:t>生态恢复</w:t>
      </w:r>
      <w:r>
        <w:fldChar w:fldCharType="end"/>
      </w:r>
      <w:r>
        <w:t>等义务所确定的支出</w:t>
      </w:r>
      <w:r>
        <w:rPr>
          <w:rFonts w:hint="eastAsia"/>
        </w:rPr>
        <w:t>。</w:t>
      </w:r>
    </w:p>
    <w:p>
      <w:pPr>
        <w:pStyle w:val="3"/>
        <w:spacing w:before="163" w:after="163"/>
      </w:pPr>
      <w:r>
        <w:rPr>
          <w:rFonts w:hint="eastAsia"/>
        </w:rPr>
        <w:t>成本费用</w:t>
      </w:r>
    </w:p>
    <w:p>
      <w:pPr>
        <w:pStyle w:val="4"/>
      </w:pPr>
      <w:r>
        <w:rPr>
          <w:rFonts w:hint="eastAsia"/>
        </w:rPr>
        <w:t>总成本费用</w:t>
      </w:r>
    </w:p>
    <w:p>
      <w:pPr>
        <w:ind w:firstLine="480"/>
      </w:pPr>
      <w:r>
        <w:rPr>
          <w:rFonts w:hint="eastAsia"/>
        </w:rPr>
        <w:t>总成本费用是指企业在生产经营过程中所发生的全部消耗，按照生产要素法进行估算，—般包括生产过程中所发生的直接材料费、动力费、水费、水处理费、地热水资源费、直接职工薪酬、维护及修理费、其他直接支出、制造费用、折旧、管理费等。</w:t>
      </w:r>
    </w:p>
    <w:p>
      <w:pPr>
        <w:pStyle w:val="4"/>
      </w:pPr>
      <w:r>
        <w:rPr>
          <w:rFonts w:hint="eastAsia"/>
        </w:rPr>
        <w:t>经营成本</w:t>
      </w:r>
    </w:p>
    <w:p>
      <w:pPr>
        <w:ind w:firstLine="480"/>
      </w:pPr>
      <w:r>
        <w:rPr>
          <w:rFonts w:hint="eastAsia"/>
        </w:rPr>
        <w:t>经营成本是为供给热能和提供热力服务而发生的各种耗费，包括：</w:t>
      </w:r>
      <w:bookmarkStart w:id="38" w:name="_Hlk142505232"/>
      <w:r>
        <w:rPr>
          <w:rFonts w:hint="eastAsia"/>
        </w:rPr>
        <w:t>材料费、水费、动力费、工资及福利费、维护及修理费、分摊管理费</w:t>
      </w:r>
      <w:bookmarkEnd w:id="38"/>
      <w:r>
        <w:rPr>
          <w:rFonts w:hint="eastAsia"/>
        </w:rPr>
        <w:t>、营业费用等。</w:t>
      </w:r>
    </w:p>
    <w:p>
      <w:pPr>
        <w:pStyle w:val="4"/>
      </w:pPr>
      <w:r>
        <w:rPr>
          <w:rFonts w:hint="eastAsia"/>
        </w:rPr>
        <w:t>折旧</w:t>
      </w:r>
    </w:p>
    <w:p>
      <w:pPr>
        <w:ind w:firstLine="480"/>
      </w:pPr>
      <w:r>
        <w:rPr>
          <w:rFonts w:hint="eastAsia"/>
        </w:rPr>
        <w:t>地热供热项目经济评价按照平均年限法进行折旧。</w:t>
      </w:r>
    </w:p>
    <w:p>
      <w:pPr>
        <w:ind w:firstLine="480"/>
      </w:pPr>
      <w:r>
        <w:rPr>
          <w:rFonts w:hint="eastAsia"/>
        </w:rPr>
        <w:t>若存在利用旧有资产、资产划转、无偿提供资产的项目，在估算折旧时，按照这类资产的账面净值或获取价格估算折旧。</w:t>
      </w:r>
    </w:p>
    <w:p>
      <w:pPr>
        <w:pStyle w:val="4"/>
      </w:pPr>
      <w:r>
        <w:rPr>
          <w:rFonts w:hint="eastAsia"/>
        </w:rPr>
        <w:t>摊销费用</w:t>
      </w:r>
    </w:p>
    <w:p>
      <w:pPr>
        <w:ind w:firstLine="480"/>
      </w:pPr>
      <w:r>
        <w:rPr>
          <w:rFonts w:hint="eastAsia"/>
        </w:rPr>
        <w:t>无形和其他资产摊销年限有明确规定的按规定期限平均摊销，无规定的、无形资产一般按照</w:t>
      </w:r>
      <w:r>
        <w:t>10</w:t>
      </w:r>
      <w:r>
        <w:rPr>
          <w:rFonts w:hint="eastAsia"/>
        </w:rPr>
        <w:t>年摊销，其他资产一般按照</w:t>
      </w:r>
      <w:r>
        <w:t>5</w:t>
      </w:r>
      <w:r>
        <w:rPr>
          <w:rFonts w:hint="eastAsia"/>
        </w:rPr>
        <w:t>年摊销。</w:t>
      </w:r>
    </w:p>
    <w:p>
      <w:pPr>
        <w:pStyle w:val="4"/>
        <w:tabs>
          <w:tab w:val="left" w:pos="377"/>
        </w:tabs>
        <w:jc w:val="both"/>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财务费用</w:t>
      </w:r>
    </w:p>
    <w:p>
      <w:pPr>
        <w:widowControl/>
        <w:ind w:firstLine="480"/>
        <w:jc w:val="left"/>
      </w:pPr>
      <w:r>
        <w:rPr>
          <w:rFonts w:hint="eastAsia" w:ascii="宋体" w:hAnsi="宋体" w:cs="宋体"/>
          <w:color w:val="000000"/>
          <w:kern w:val="0"/>
          <w:lang w:bidi="ar"/>
        </w:rPr>
        <w:t>指项目筹集资金在运营期间发生的各项费用，包括利息支出、相关的手续费。财务费用根据贷款合同规定的还款期限、方式以及贷款利率计算。</w:t>
      </w:r>
    </w:p>
    <w:p>
      <w:pPr>
        <w:pStyle w:val="4"/>
      </w:pPr>
      <w:r>
        <w:rPr>
          <w:rFonts w:hint="eastAsia"/>
        </w:rPr>
        <w:t>税收及附加</w:t>
      </w:r>
    </w:p>
    <w:p>
      <w:pPr>
        <w:ind w:firstLine="480"/>
        <w:rPr>
          <w:color w:val="A6A6A6" w:themeColor="background1" w:themeShade="A6"/>
        </w:rPr>
      </w:pPr>
      <w:r>
        <w:rPr>
          <w:rFonts w:hint="eastAsia"/>
        </w:rPr>
        <w:t>税收及附加包括增值税、城市维护建设税、教育费附加、资源税、所得税。依据项目所在地纳税要求进行测算。</w:t>
      </w:r>
    </w:p>
    <w:p>
      <w:pPr>
        <w:pStyle w:val="2"/>
      </w:pPr>
      <w:r>
        <w:rPr>
          <w:rFonts w:hint="eastAsia"/>
        </w:rPr>
        <w:t>效益分析</w:t>
      </w:r>
      <w:bookmarkEnd w:id="34"/>
      <w:bookmarkStart w:id="39" w:name="_Hlk146798470"/>
    </w:p>
    <w:bookmarkEnd w:id="39"/>
    <w:p>
      <w:pPr>
        <w:pStyle w:val="3"/>
        <w:spacing w:before="163" w:after="163"/>
      </w:pPr>
      <w:r>
        <w:rPr>
          <w:rFonts w:hint="eastAsia"/>
        </w:rPr>
        <w:t>财务内部收益率</w:t>
      </w:r>
    </w:p>
    <w:p>
      <w:pPr>
        <w:ind w:firstLine="480"/>
      </w:pPr>
      <w:bookmarkStart w:id="40" w:name="_Hlk146798558"/>
      <w:r>
        <w:rPr>
          <w:rFonts w:hint="eastAsia"/>
        </w:rPr>
        <w:t>财务内部收益率是指能使项目计算期内净现金流量现值累计等于零时的折现率，财务内部收益率大于或等于行业财务基准收益率</w:t>
      </w:r>
      <m:oMath>
        <m:sSub>
          <m:sSubPr>
            <m:ctrlPr>
              <w:rPr>
                <w:rFonts w:ascii="Cambria Math" w:hAnsi="Cambria Math"/>
              </w:rPr>
            </m:ctrlPr>
          </m:sSubPr>
          <m:e>
            <m:r>
              <m:rPr/>
              <w:rPr>
                <w:rFonts w:ascii="Cambria Math" w:hAnsi="Cambria Math"/>
              </w:rPr>
              <m:t>i</m:t>
            </m:r>
            <m:ctrlPr>
              <w:rPr>
                <w:rFonts w:ascii="Cambria Math" w:hAnsi="Cambria Math"/>
              </w:rPr>
            </m:ctrlPr>
          </m:e>
          <m:sub>
            <m:r>
              <m:rPr/>
              <w:rPr>
                <w:rFonts w:ascii="Cambria Math" w:hAnsi="Cambria Math"/>
              </w:rPr>
              <m:t>c</m:t>
            </m:r>
            <m:ctrlPr>
              <w:rPr>
                <w:rFonts w:ascii="Cambria Math" w:hAnsi="Cambria Math"/>
              </w:rPr>
            </m:ctrlPr>
          </m:sub>
        </m:sSub>
      </m:oMath>
      <w:r>
        <w:rPr>
          <w:rFonts w:hint="eastAsia"/>
        </w:rPr>
        <w:t>或加权平均资金成本时，项目方案在财务上可行。财务内部收益率按照贴现现金流模型进行测算。</w:t>
      </w:r>
    </w:p>
    <w:bookmarkEnd w:id="40"/>
    <w:p>
      <w:pPr>
        <w:pStyle w:val="3"/>
        <w:spacing w:before="163" w:after="163"/>
      </w:pPr>
      <w:r>
        <w:rPr>
          <w:rFonts w:hint="eastAsia"/>
        </w:rPr>
        <w:t>财务净现值</w:t>
      </w:r>
    </w:p>
    <w:p>
      <w:pPr>
        <w:ind w:firstLine="480"/>
      </w:pPr>
      <w:r>
        <w:rPr>
          <w:rFonts w:hint="eastAsia"/>
        </w:rPr>
        <w:t>财务净现值是指按行业财务基准收益率或设定的折现率</w:t>
      </w:r>
      <m:oMath>
        <m:sSub>
          <m:sSubPr>
            <m:ctrlPr>
              <w:rPr>
                <w:rFonts w:ascii="Cambria Math" w:hAnsi="Cambria Math"/>
              </w:rPr>
            </m:ctrlPr>
          </m:sSubPr>
          <m:e>
            <m:r>
              <m:rPr/>
              <w:rPr>
                <w:rFonts w:ascii="Cambria Math" w:hAnsi="Cambria Math"/>
              </w:rPr>
              <m:t>i</m:t>
            </m:r>
            <m:ctrlPr>
              <w:rPr>
                <w:rFonts w:ascii="Cambria Math" w:hAnsi="Cambria Math"/>
              </w:rPr>
            </m:ctrlPr>
          </m:e>
          <m:sub>
            <m:r>
              <m:rPr/>
              <w:rPr>
                <w:rFonts w:ascii="Cambria Math" w:hAnsi="Cambria Math"/>
              </w:rPr>
              <m:t>c</m:t>
            </m:r>
            <m:ctrlPr>
              <w:rPr>
                <w:rFonts w:ascii="Cambria Math" w:hAnsi="Cambria Math"/>
              </w:rPr>
            </m:ctrlPr>
          </m:sub>
        </m:sSub>
      </m:oMath>
      <w:r>
        <w:rPr>
          <w:rFonts w:hint="eastAsia"/>
        </w:rPr>
        <w:t>计算项目计算期内净现金流量的现值之和，财务净现值大于或等于零时，项目方案在财务上可行。按照贴现现金流模型进行测算。</w:t>
      </w:r>
    </w:p>
    <w:p>
      <w:pPr>
        <w:pStyle w:val="3"/>
        <w:spacing w:before="163" w:after="163"/>
      </w:pPr>
      <w:r>
        <w:t>平准化</w:t>
      </w:r>
      <w:r>
        <w:rPr>
          <w:rFonts w:hint="eastAsia"/>
        </w:rPr>
        <w:t>供给热能</w:t>
      </w:r>
      <w:r>
        <w:t>成本</w:t>
      </w:r>
    </w:p>
    <w:p>
      <w:pPr>
        <w:ind w:firstLine="480"/>
      </w:pPr>
      <w:r>
        <w:t>平准化</w:t>
      </w:r>
      <w:r>
        <w:rPr>
          <w:rFonts w:hint="eastAsia"/>
        </w:rPr>
        <w:t>供给热能</w:t>
      </w:r>
      <w:r>
        <w:t>成本</w:t>
      </w:r>
      <w:r>
        <w:rPr>
          <w:rFonts w:hint="eastAsia"/>
        </w:rPr>
        <w:t>（</w:t>
      </w:r>
      <m:oMath>
        <m:r>
          <m:rPr>
            <m:sty m:val="bi"/>
          </m:rPr>
          <w:rPr>
            <w:rFonts w:hint="eastAsia" w:ascii="Cambria Math" w:hAnsi="Cambria Math"/>
          </w:rPr>
          <m:t>L</m:t>
        </m:r>
        <m:r>
          <m:rPr>
            <m:sty m:val="bi"/>
          </m:rPr>
          <w:rPr>
            <w:rFonts w:ascii="Cambria Math" w:hAnsi="Cambria Math"/>
          </w:rPr>
          <m:t>COE</m:t>
        </m:r>
      </m:oMath>
      <w:r>
        <w:rPr>
          <w:rFonts w:hint="eastAsia"/>
        </w:rPr>
        <w:t>）表示项目供给热能成本，按设定折现率（一般采用基准折现率）对地热供热项目评价期内的现金流出量和供给热能折现后测算。</w:t>
      </w:r>
      <w:r>
        <w:t>平准化</w:t>
      </w:r>
      <w:r>
        <w:rPr>
          <w:rFonts w:hint="eastAsia"/>
        </w:rPr>
        <w:t>供给热能</w:t>
      </w:r>
      <w:r>
        <w:t>成本</w:t>
      </w:r>
      <w:r>
        <w:rPr>
          <w:rFonts w:hint="eastAsia"/>
        </w:rPr>
        <w:t>低于热能销售价格表示地热供热项目满足盈利能力。</w:t>
      </w:r>
    </w:p>
    <w:p>
      <w:pPr>
        <w:pStyle w:val="3"/>
        <w:spacing w:before="163" w:after="163"/>
      </w:pPr>
      <w:r>
        <w:rPr>
          <w:rFonts w:hint="eastAsia"/>
        </w:rPr>
        <w:t>项目投资回收期</w:t>
      </w:r>
    </w:p>
    <w:p>
      <w:pPr>
        <w:ind w:firstLine="480"/>
      </w:pPr>
      <w:r>
        <w:rPr>
          <w:rFonts w:hint="eastAsia"/>
        </w:rPr>
        <w:t>地热供热项目投资回收期是指以项目的净收益回收项目投资所需要的时间，以年为单位。项目投资回收期从项目建设开始年基于项目投资现金流量表计算。</w:t>
      </w:r>
    </w:p>
    <w:p>
      <w:pPr>
        <w:pStyle w:val="3"/>
        <w:spacing w:before="163" w:after="163"/>
      </w:pPr>
      <w:r>
        <w:rPr>
          <w:rFonts w:hint="eastAsia"/>
        </w:rPr>
        <w:t>总投资收益率</w:t>
      </w:r>
    </w:p>
    <w:p>
      <w:pPr>
        <w:ind w:firstLine="480"/>
      </w:pPr>
      <w:r>
        <w:rPr>
          <w:rFonts w:hint="eastAsia"/>
        </w:rPr>
        <w:t>总投资收益率表示总投资的盈利水平，指地热供热项目达到设计能力后正常年份的年息税前利润或运营期内平均息税前利润与总投资的比率。</w:t>
      </w:r>
    </w:p>
    <w:p>
      <w:pPr>
        <w:pStyle w:val="3"/>
        <w:spacing w:before="163" w:after="163"/>
      </w:pPr>
      <w:r>
        <w:rPr>
          <w:rFonts w:hint="eastAsia"/>
        </w:rPr>
        <w:t>资本金净利润</w:t>
      </w:r>
    </w:p>
    <w:p>
      <w:pPr>
        <w:ind w:firstLine="480"/>
      </w:pPr>
      <w:r>
        <w:rPr>
          <w:rFonts w:hint="eastAsia"/>
        </w:rPr>
        <w:t>资本金净利润率表示项目资本金的盈利水平，指地热供热项目达到设计能力后正常年份的年净利润率或运营期内年平均净利润与项目资本金的比率。</w:t>
      </w:r>
    </w:p>
    <w:p>
      <w:pPr>
        <w:pStyle w:val="2"/>
      </w:pPr>
      <w:bookmarkStart w:id="41" w:name="_Toc166739130"/>
      <w:r>
        <w:rPr>
          <w:rFonts w:hint="eastAsia"/>
        </w:rPr>
        <w:t>经济评价报表编制</w:t>
      </w:r>
      <w:bookmarkEnd w:id="41"/>
    </w:p>
    <w:bookmarkEnd w:id="35"/>
    <w:bookmarkEnd w:id="36"/>
    <w:p>
      <w:pPr>
        <w:ind w:firstLine="480"/>
      </w:pPr>
      <w:r>
        <w:rPr>
          <w:rFonts w:hint="eastAsia"/>
        </w:rPr>
        <w:t>按照《</w:t>
      </w:r>
      <w:r>
        <w:rPr>
          <w:rFonts w:hint="eastAsia"/>
          <w:lang w:val="zh-CN"/>
        </w:rPr>
        <w:t>建设项目经济评价方法与参数》</w:t>
      </w:r>
      <w:r>
        <w:rPr>
          <w:rFonts w:hint="eastAsia"/>
        </w:rPr>
        <w:t>要求编制地热供热项目建设方案经济评价报表，主要包括地热供热项目基础数据表、供热需求测算表、供热方案设计表、经济评价效益测算表。</w:t>
      </w:r>
    </w:p>
    <w:p>
      <w:pPr>
        <w:pStyle w:val="3"/>
        <w:spacing w:before="163" w:after="163"/>
      </w:pPr>
      <w:r>
        <w:rPr>
          <w:rFonts w:hint="eastAsia"/>
        </w:rPr>
        <w:t>地热供热项目基础数据表</w:t>
      </w:r>
    </w:p>
    <w:p>
      <w:pPr>
        <w:ind w:firstLine="440"/>
        <w:rPr>
          <w:sz w:val="22"/>
          <w:szCs w:val="18"/>
        </w:rPr>
      </w:pPr>
      <w:r>
        <w:rPr>
          <w:rFonts w:hint="eastAsia"/>
          <w:sz w:val="22"/>
          <w:szCs w:val="18"/>
        </w:rPr>
        <w:t>地热供热项目基础数据表要反映项目的基本信息、地热能开发利用单元的基本状况、供热需求及供热能力。</w:t>
      </w:r>
    </w:p>
    <w:p>
      <w:pPr>
        <w:pStyle w:val="3"/>
        <w:spacing w:before="163" w:after="163"/>
        <w:rPr>
          <w:sz w:val="22"/>
          <w:szCs w:val="18"/>
        </w:rPr>
      </w:pPr>
      <w:r>
        <w:rPr>
          <w:rFonts w:hint="eastAsia"/>
        </w:rPr>
        <w:t>供热</w:t>
      </w:r>
      <w:r>
        <w:rPr>
          <w:rFonts w:hint="eastAsia"/>
          <w:sz w:val="22"/>
          <w:szCs w:val="18"/>
        </w:rPr>
        <w:t>需求测算表</w:t>
      </w:r>
    </w:p>
    <w:p>
      <w:pPr>
        <w:ind w:firstLine="440"/>
        <w:rPr>
          <w:sz w:val="22"/>
          <w:szCs w:val="18"/>
        </w:rPr>
      </w:pPr>
      <w:r>
        <w:rPr>
          <w:rFonts w:hint="eastAsia"/>
          <w:sz w:val="22"/>
          <w:szCs w:val="18"/>
        </w:rPr>
        <w:t>供热需求测算表要反映地热供热项目热负荷测算的气象条件、须保持的供暖室内温度、热能耗指标及热能供给规模等信息。</w:t>
      </w:r>
    </w:p>
    <w:p>
      <w:pPr>
        <w:pStyle w:val="3"/>
        <w:spacing w:before="163" w:after="163"/>
      </w:pPr>
      <w:r>
        <w:rPr>
          <w:rFonts w:hint="eastAsia"/>
        </w:rPr>
        <w:t>供热方案设计表</w:t>
      </w:r>
    </w:p>
    <w:p>
      <w:pPr>
        <w:ind w:firstLine="440"/>
        <w:rPr>
          <w:sz w:val="22"/>
          <w:szCs w:val="18"/>
        </w:rPr>
      </w:pPr>
      <w:r>
        <w:rPr>
          <w:rFonts w:hint="eastAsia"/>
          <w:sz w:val="22"/>
          <w:szCs w:val="18"/>
        </w:rPr>
        <w:t>供热方案设计表要反映地热供热项目在不同气象条件的热能供给流量、热能供给的地热水温度及地热尾水温度等信息。</w:t>
      </w:r>
    </w:p>
    <w:p>
      <w:pPr>
        <w:pStyle w:val="3"/>
        <w:spacing w:before="163" w:after="163"/>
      </w:pPr>
      <w:r>
        <w:rPr>
          <w:rFonts w:hint="eastAsia"/>
        </w:rPr>
        <w:t>经济评价效益测算表</w:t>
      </w:r>
    </w:p>
    <w:p>
      <w:pPr>
        <w:ind w:firstLine="480"/>
      </w:pPr>
      <w:r>
        <w:rPr>
          <w:rFonts w:hint="eastAsia"/>
        </w:rPr>
        <w:t>地热供热项目经济评价效益测算表主要包括《项目投资（估算）表》、《总投资使用计划与资金筹措计划表》、《总成本费用估算表》、《借款还本付息计划表》、项目投资现金流量表</w:t>
      </w:r>
      <w:r>
        <w:rPr>
          <w:rFonts w:hint="eastAsia"/>
          <w:sz w:val="22"/>
          <w:szCs w:val="18"/>
        </w:rPr>
        <w:t>》、《平准化供给热能成本（LCOE）测算表》、《利润及利润分配表》等。</w:t>
      </w:r>
    </w:p>
    <w:p>
      <w:pPr>
        <w:ind w:firstLine="480"/>
        <w:sectPr>
          <w:headerReference r:id="rId14" w:type="default"/>
          <w:pgSz w:w="11906" w:h="16838"/>
          <w:pgMar w:top="1440" w:right="1800" w:bottom="1440" w:left="1800" w:header="851" w:footer="737" w:gutter="0"/>
          <w:cols w:space="425" w:num="1"/>
          <w:docGrid w:type="lines" w:linePitch="326" w:charSpace="0"/>
        </w:sectPr>
      </w:pPr>
    </w:p>
    <w:p>
      <w:pPr>
        <w:pStyle w:val="76"/>
        <w:ind w:left="425" w:firstLine="200"/>
        <w:rPr>
          <w:rFonts w:ascii="黑体" w:hAnsi="黑体"/>
        </w:rPr>
      </w:pPr>
      <w:bookmarkStart w:id="42" w:name="_Toc166739131"/>
      <w:r>
        <w:rPr>
          <w:rFonts w:hint="eastAsia" w:ascii="黑体" w:hAnsi="黑体"/>
        </w:rPr>
        <w:t>附录：</w:t>
      </w:r>
      <w:bookmarkStart w:id="43" w:name="_Hlk118472792"/>
      <w:r>
        <w:rPr>
          <w:rFonts w:hint="eastAsia" w:ascii="黑体" w:hAnsi="黑体"/>
        </w:rPr>
        <w:t>地热供热项目经济评价文件通用要素</w:t>
      </w:r>
      <w:bookmarkEnd w:id="42"/>
    </w:p>
    <w:p>
      <w:pPr>
        <w:pStyle w:val="74"/>
        <w:numPr>
          <w:ilvl w:val="1"/>
          <w:numId w:val="17"/>
        </w:numPr>
        <w:spacing w:beforeLines="0" w:afterLines="0"/>
      </w:pPr>
      <w:bookmarkStart w:id="44" w:name="_Toc118472636"/>
      <w:r>
        <w:rPr>
          <w:rFonts w:hint="eastAsia"/>
        </w:rPr>
        <w:t>文前</w:t>
      </w:r>
      <w:bookmarkEnd w:id="44"/>
    </w:p>
    <w:p>
      <w:pPr>
        <w:ind w:firstLine="480"/>
      </w:pPr>
      <w:r>
        <w:rPr>
          <w:rFonts w:hint="eastAsia"/>
        </w:rPr>
        <w:t>地热供热项目经济评价文件的文前内容包括：</w:t>
      </w:r>
    </w:p>
    <w:p>
      <w:pPr>
        <w:ind w:firstLine="480"/>
      </w:pPr>
      <w:r>
        <w:rPr>
          <w:rFonts w:hint="eastAsia"/>
        </w:rPr>
        <w:t>编制单位资质证书；</w:t>
      </w:r>
    </w:p>
    <w:p>
      <w:pPr>
        <w:ind w:firstLine="480"/>
      </w:pPr>
      <w:r>
        <w:rPr>
          <w:rFonts w:hint="eastAsia"/>
        </w:rPr>
        <w:t>地热供热项目经济评实施单位；</w:t>
      </w:r>
    </w:p>
    <w:p>
      <w:pPr>
        <w:ind w:firstLine="480"/>
      </w:pPr>
      <w:r>
        <w:rPr>
          <w:rFonts w:hint="eastAsia"/>
        </w:rPr>
        <w:t>参加地热供热项目经济评价人员名单和专家组成员名单</w:t>
      </w:r>
    </w:p>
    <w:p>
      <w:pPr>
        <w:pStyle w:val="74"/>
        <w:numPr>
          <w:ilvl w:val="1"/>
          <w:numId w:val="17"/>
        </w:numPr>
        <w:spacing w:beforeLines="0" w:afterLines="0"/>
      </w:pPr>
      <w:bookmarkStart w:id="45" w:name="_Toc118472637"/>
      <w:r>
        <w:rPr>
          <w:rFonts w:hint="eastAsia"/>
        </w:rPr>
        <w:t>项目概况</w:t>
      </w:r>
      <w:bookmarkEnd w:id="45"/>
    </w:p>
    <w:p>
      <w:pPr>
        <w:pStyle w:val="77"/>
      </w:pPr>
      <w:r>
        <w:rPr>
          <w:rFonts w:hint="eastAsia"/>
        </w:rPr>
        <w:t>项目概况简述</w:t>
      </w:r>
    </w:p>
    <w:p>
      <w:pPr>
        <w:pStyle w:val="54"/>
        <w:numPr>
          <w:ilvl w:val="0"/>
          <w:numId w:val="18"/>
        </w:numPr>
      </w:pPr>
      <w:r>
        <w:rPr>
          <w:rFonts w:hint="eastAsia"/>
        </w:rPr>
        <w:t>概述项目建设地点、项目业主、项目规模</w:t>
      </w:r>
    </w:p>
    <w:p>
      <w:pPr>
        <w:pStyle w:val="54"/>
        <w:numPr>
          <w:ilvl w:val="0"/>
          <w:numId w:val="18"/>
        </w:numPr>
      </w:pPr>
      <w:r>
        <w:rPr>
          <w:rFonts w:hint="eastAsia"/>
        </w:rPr>
        <w:t>概述自然条件、气温条件、社会条件</w:t>
      </w:r>
    </w:p>
    <w:p>
      <w:pPr>
        <w:pStyle w:val="54"/>
        <w:numPr>
          <w:ilvl w:val="0"/>
          <w:numId w:val="18"/>
        </w:numPr>
      </w:pPr>
      <w:r>
        <w:rPr>
          <w:rFonts w:hint="eastAsia"/>
        </w:rPr>
        <w:t>概述地热资源状况</w:t>
      </w:r>
    </w:p>
    <w:p>
      <w:pPr>
        <w:pStyle w:val="54"/>
        <w:numPr>
          <w:ilvl w:val="0"/>
          <w:numId w:val="18"/>
        </w:numPr>
      </w:pPr>
      <w:r>
        <w:rPr>
          <w:rFonts w:hint="eastAsia"/>
        </w:rPr>
        <w:t>概述地热能需求</w:t>
      </w:r>
    </w:p>
    <w:p>
      <w:pPr>
        <w:pStyle w:val="77"/>
      </w:pPr>
      <w:r>
        <w:rPr>
          <w:rFonts w:hint="eastAsia"/>
        </w:rPr>
        <w:t>项目主要内容</w:t>
      </w:r>
    </w:p>
    <w:p>
      <w:pPr>
        <w:pStyle w:val="54"/>
        <w:numPr>
          <w:ilvl w:val="0"/>
          <w:numId w:val="19"/>
        </w:numPr>
      </w:pPr>
      <w:r>
        <w:rPr>
          <w:rFonts w:hint="eastAsia"/>
        </w:rPr>
        <w:t>项目建设的理由、决策目标和目的。</w:t>
      </w:r>
    </w:p>
    <w:p>
      <w:pPr>
        <w:pStyle w:val="54"/>
        <w:numPr>
          <w:ilvl w:val="0"/>
          <w:numId w:val="19"/>
        </w:numPr>
      </w:pPr>
      <w:r>
        <w:rPr>
          <w:rFonts w:hint="eastAsia"/>
        </w:rPr>
        <w:t>概述地热能开发利用方案</w:t>
      </w:r>
    </w:p>
    <w:p>
      <w:pPr>
        <w:pStyle w:val="75"/>
        <w:numPr>
          <w:ilvl w:val="0"/>
          <w:numId w:val="20"/>
        </w:numPr>
        <w:ind w:firstLine="480"/>
      </w:pPr>
      <w:r>
        <w:rPr>
          <w:rFonts w:hint="eastAsia"/>
        </w:rPr>
        <w:t>概述采暖热负荷状况</w:t>
      </w:r>
    </w:p>
    <w:p>
      <w:pPr>
        <w:pStyle w:val="75"/>
        <w:numPr>
          <w:ilvl w:val="0"/>
          <w:numId w:val="20"/>
        </w:numPr>
        <w:ind w:firstLine="480"/>
      </w:pPr>
      <w:r>
        <w:rPr>
          <w:rFonts w:hint="eastAsia"/>
        </w:rPr>
        <w:t>概述</w:t>
      </w:r>
      <w:r>
        <w:t>热能供给</w:t>
      </w:r>
      <w:r>
        <w:rPr>
          <w:rFonts w:hint="eastAsia"/>
        </w:rPr>
        <w:t>对象</w:t>
      </w:r>
    </w:p>
    <w:p>
      <w:pPr>
        <w:pStyle w:val="75"/>
        <w:numPr>
          <w:ilvl w:val="0"/>
          <w:numId w:val="20"/>
        </w:numPr>
        <w:ind w:firstLine="480"/>
      </w:pPr>
      <w:r>
        <w:t>地热能</w:t>
      </w:r>
      <w:r>
        <w:rPr>
          <w:rFonts w:hint="eastAsia"/>
        </w:rPr>
        <w:t>开发利用方案</w:t>
      </w:r>
    </w:p>
    <w:p>
      <w:pPr>
        <w:pStyle w:val="54"/>
        <w:numPr>
          <w:ilvl w:val="0"/>
          <w:numId w:val="19"/>
        </w:numPr>
      </w:pPr>
      <w:r>
        <w:rPr>
          <w:rFonts w:hint="eastAsia"/>
        </w:rPr>
        <w:t>概述基础建设方案</w:t>
      </w:r>
    </w:p>
    <w:p>
      <w:pPr>
        <w:pStyle w:val="77"/>
      </w:pPr>
      <w:r>
        <w:rPr>
          <w:rFonts w:hint="eastAsia"/>
        </w:rPr>
        <w:t>项目实施计划</w:t>
      </w:r>
    </w:p>
    <w:p>
      <w:pPr>
        <w:ind w:firstLine="480"/>
      </w:pPr>
      <w:r>
        <w:rPr>
          <w:rFonts w:hint="eastAsia"/>
        </w:rPr>
        <w:t>概述项目周期及各个阶段实施的起止时间、时间进度等。</w:t>
      </w:r>
    </w:p>
    <w:p>
      <w:pPr>
        <w:pStyle w:val="77"/>
      </w:pPr>
      <w:r>
        <w:rPr>
          <w:rFonts w:hint="eastAsia"/>
        </w:rPr>
        <w:t>项目资金筹措及使用</w:t>
      </w:r>
    </w:p>
    <w:p>
      <w:pPr>
        <w:ind w:firstLine="480"/>
      </w:pPr>
      <w:r>
        <w:rPr>
          <w:rFonts w:hint="eastAsia"/>
        </w:rPr>
        <w:t>概述项目立项决策、资金来源计划、资金使用计划、资金管理制度等。</w:t>
      </w:r>
    </w:p>
    <w:p>
      <w:pPr>
        <w:pStyle w:val="74"/>
        <w:numPr>
          <w:ilvl w:val="1"/>
          <w:numId w:val="17"/>
        </w:numPr>
        <w:spacing w:beforeLines="0" w:afterLines="0"/>
      </w:pPr>
      <w:bookmarkStart w:id="46" w:name="_Toc118472638"/>
      <w:r>
        <w:t>项目</w:t>
      </w:r>
      <w:r>
        <w:rPr>
          <w:rFonts w:hint="eastAsia"/>
        </w:rPr>
        <w:t>经济</w:t>
      </w:r>
      <w:r>
        <w:t>评价</w:t>
      </w:r>
      <w:bookmarkEnd w:id="46"/>
    </w:p>
    <w:p>
      <w:pPr>
        <w:ind w:firstLine="480"/>
      </w:pPr>
      <w:r>
        <w:rPr>
          <w:rFonts w:hint="eastAsia"/>
        </w:rPr>
        <w:t>项目管理直接目标及其实现情况分析。</w:t>
      </w:r>
    </w:p>
    <w:p>
      <w:pPr>
        <w:pStyle w:val="77"/>
      </w:pPr>
      <w:r>
        <w:rPr>
          <w:rFonts w:hint="eastAsia"/>
        </w:rPr>
        <w:t>地热供热项目热能供给需求分析</w:t>
      </w:r>
    </w:p>
    <w:p>
      <w:pPr>
        <w:pStyle w:val="54"/>
        <w:numPr>
          <w:ilvl w:val="0"/>
          <w:numId w:val="21"/>
        </w:numPr>
      </w:pPr>
      <w:r>
        <w:rPr>
          <w:rFonts w:hint="eastAsia"/>
        </w:rPr>
        <w:t>地域供热季气候条件</w:t>
      </w:r>
    </w:p>
    <w:p>
      <w:pPr>
        <w:pStyle w:val="54"/>
        <w:numPr>
          <w:ilvl w:val="0"/>
          <w:numId w:val="21"/>
        </w:numPr>
      </w:pPr>
      <w:r>
        <w:rPr>
          <w:rFonts w:hint="eastAsia"/>
        </w:rPr>
        <w:t>供热季供热需求</w:t>
      </w:r>
    </w:p>
    <w:p>
      <w:pPr>
        <w:pStyle w:val="75"/>
        <w:numPr>
          <w:ilvl w:val="0"/>
          <w:numId w:val="22"/>
        </w:numPr>
        <w:ind w:firstLine="480"/>
      </w:pPr>
      <w:r>
        <w:rPr>
          <w:rFonts w:hint="eastAsia"/>
        </w:rPr>
        <w:t>居民建筑供热需求</w:t>
      </w:r>
    </w:p>
    <w:p>
      <w:pPr>
        <w:pStyle w:val="75"/>
        <w:numPr>
          <w:ilvl w:val="1"/>
          <w:numId w:val="4"/>
        </w:numPr>
        <w:ind w:firstLine="480"/>
      </w:pPr>
      <w:r>
        <w:rPr>
          <w:rFonts w:hint="eastAsia"/>
        </w:rPr>
        <w:t>供热面积、入住率</w:t>
      </w:r>
    </w:p>
    <w:p>
      <w:pPr>
        <w:pStyle w:val="75"/>
        <w:numPr>
          <w:ilvl w:val="1"/>
          <w:numId w:val="4"/>
        </w:numPr>
        <w:ind w:firstLine="480"/>
      </w:pPr>
      <w:r>
        <w:rPr>
          <w:rFonts w:hint="eastAsia"/>
        </w:rPr>
        <w:t>需保持的室内温度</w:t>
      </w:r>
    </w:p>
    <w:p>
      <w:pPr>
        <w:pStyle w:val="75"/>
        <w:numPr>
          <w:ilvl w:val="1"/>
          <w:numId w:val="4"/>
        </w:numPr>
        <w:ind w:firstLine="480"/>
      </w:pPr>
      <w:r>
        <w:rPr>
          <w:rFonts w:hint="eastAsia"/>
        </w:rPr>
        <w:t>能耗设计指标与热耗能</w:t>
      </w:r>
    </w:p>
    <w:p>
      <w:pPr>
        <w:pStyle w:val="75"/>
        <w:numPr>
          <w:ilvl w:val="1"/>
          <w:numId w:val="4"/>
        </w:numPr>
        <w:ind w:firstLine="480"/>
      </w:pPr>
      <w:r>
        <w:rPr>
          <w:rFonts w:hint="eastAsia"/>
        </w:rPr>
        <w:t>供热末端系统循环水供水/回水温度</w:t>
      </w:r>
    </w:p>
    <w:p>
      <w:pPr>
        <w:pStyle w:val="75"/>
        <w:numPr>
          <w:ilvl w:val="1"/>
          <w:numId w:val="4"/>
        </w:numPr>
        <w:ind w:firstLine="480"/>
      </w:pPr>
      <w:r>
        <w:rPr>
          <w:rFonts w:hint="eastAsia"/>
        </w:rPr>
        <w:t>供给热能需求量</w:t>
      </w:r>
    </w:p>
    <w:p>
      <w:pPr>
        <w:pStyle w:val="75"/>
        <w:numPr>
          <w:ilvl w:val="0"/>
          <w:numId w:val="22"/>
        </w:numPr>
        <w:ind w:firstLine="480"/>
      </w:pPr>
      <w:r>
        <w:rPr>
          <w:rFonts w:hint="eastAsia"/>
        </w:rPr>
        <w:t>非居民建筑供热需求</w:t>
      </w:r>
    </w:p>
    <w:p>
      <w:pPr>
        <w:pStyle w:val="75"/>
        <w:numPr>
          <w:ilvl w:val="1"/>
          <w:numId w:val="22"/>
        </w:numPr>
        <w:ind w:firstLine="480"/>
      </w:pPr>
      <w:r>
        <w:rPr>
          <w:rFonts w:hint="eastAsia"/>
        </w:rPr>
        <w:t>供热面积</w:t>
      </w:r>
    </w:p>
    <w:p>
      <w:pPr>
        <w:pStyle w:val="75"/>
        <w:numPr>
          <w:ilvl w:val="1"/>
          <w:numId w:val="22"/>
        </w:numPr>
        <w:ind w:firstLine="480"/>
      </w:pPr>
      <w:r>
        <w:rPr>
          <w:rFonts w:hint="eastAsia"/>
        </w:rPr>
        <w:t>需保持的室内温度</w:t>
      </w:r>
    </w:p>
    <w:p>
      <w:pPr>
        <w:pStyle w:val="75"/>
        <w:numPr>
          <w:ilvl w:val="1"/>
          <w:numId w:val="22"/>
        </w:numPr>
        <w:ind w:firstLine="480"/>
      </w:pPr>
      <w:r>
        <w:rPr>
          <w:rFonts w:hint="eastAsia"/>
        </w:rPr>
        <w:t>能耗设计指标与热耗能</w:t>
      </w:r>
    </w:p>
    <w:p>
      <w:pPr>
        <w:pStyle w:val="75"/>
        <w:numPr>
          <w:ilvl w:val="1"/>
          <w:numId w:val="22"/>
        </w:numPr>
        <w:ind w:firstLine="480"/>
      </w:pPr>
      <w:r>
        <w:rPr>
          <w:rFonts w:hint="eastAsia"/>
        </w:rPr>
        <w:t>供热末端系统循环水供水/</w:t>
      </w:r>
      <w:r>
        <w:t>/</w:t>
      </w:r>
      <w:r>
        <w:rPr>
          <w:rFonts w:hint="eastAsia"/>
        </w:rPr>
        <w:t>回水温度</w:t>
      </w:r>
    </w:p>
    <w:p>
      <w:pPr>
        <w:pStyle w:val="75"/>
        <w:numPr>
          <w:ilvl w:val="1"/>
          <w:numId w:val="22"/>
        </w:numPr>
        <w:ind w:firstLine="480"/>
      </w:pPr>
      <w:r>
        <w:rPr>
          <w:rFonts w:hint="eastAsia"/>
        </w:rPr>
        <w:t>供给热能需求量</w:t>
      </w:r>
    </w:p>
    <w:p>
      <w:pPr>
        <w:pStyle w:val="77"/>
      </w:pPr>
      <w:r>
        <w:rPr>
          <w:rFonts w:hint="eastAsia"/>
        </w:rPr>
        <w:t>热能供给方案</w:t>
      </w:r>
    </w:p>
    <w:p>
      <w:pPr>
        <w:pStyle w:val="54"/>
        <w:numPr>
          <w:ilvl w:val="0"/>
          <w:numId w:val="23"/>
        </w:numPr>
      </w:pPr>
      <w:r>
        <w:rPr>
          <w:rFonts w:hint="eastAsia"/>
        </w:rPr>
        <w:t>供热季供给热能</w:t>
      </w:r>
    </w:p>
    <w:p>
      <w:pPr>
        <w:pStyle w:val="54"/>
        <w:numPr>
          <w:ilvl w:val="0"/>
          <w:numId w:val="23"/>
        </w:numPr>
      </w:pPr>
      <w:r>
        <w:rPr>
          <w:rFonts w:hint="eastAsia"/>
        </w:rPr>
        <w:t>热泵调峰方案</w:t>
      </w:r>
    </w:p>
    <w:p>
      <w:pPr>
        <w:pStyle w:val="75"/>
        <w:numPr>
          <w:ilvl w:val="0"/>
          <w:numId w:val="24"/>
        </w:numPr>
        <w:ind w:firstLine="480"/>
      </w:pPr>
      <w:r>
        <w:rPr>
          <w:rFonts w:hint="eastAsia"/>
        </w:rPr>
        <w:t>调峰热泵机组启动室外温度</w:t>
      </w:r>
    </w:p>
    <w:p>
      <w:pPr>
        <w:pStyle w:val="75"/>
        <w:numPr>
          <w:ilvl w:val="0"/>
          <w:numId w:val="24"/>
        </w:numPr>
        <w:ind w:firstLine="480"/>
      </w:pPr>
      <w:r>
        <w:rPr>
          <w:rFonts w:hint="eastAsia"/>
        </w:rPr>
        <w:t>供热季热泵调峰时间</w:t>
      </w:r>
    </w:p>
    <w:p>
      <w:pPr>
        <w:pStyle w:val="75"/>
        <w:numPr>
          <w:ilvl w:val="0"/>
          <w:numId w:val="24"/>
        </w:numPr>
        <w:ind w:firstLine="480"/>
      </w:pPr>
      <w:r>
        <w:rPr>
          <w:rFonts w:hint="eastAsia"/>
        </w:rPr>
        <w:t>单位时间热泵调峰热能</w:t>
      </w:r>
    </w:p>
    <w:p>
      <w:pPr>
        <w:pStyle w:val="75"/>
        <w:numPr>
          <w:ilvl w:val="0"/>
          <w:numId w:val="24"/>
        </w:numPr>
        <w:ind w:firstLine="480"/>
      </w:pPr>
      <w:r>
        <w:rPr>
          <w:rFonts w:hint="eastAsia"/>
        </w:rPr>
        <w:t>供热季热泵调峰热能及占比</w:t>
      </w:r>
    </w:p>
    <w:p>
      <w:pPr>
        <w:pStyle w:val="75"/>
        <w:numPr>
          <w:ilvl w:val="0"/>
          <w:numId w:val="24"/>
        </w:numPr>
        <w:ind w:firstLine="480"/>
      </w:pPr>
      <w:r>
        <w:rPr>
          <w:rFonts w:hint="eastAsia"/>
        </w:rPr>
        <w:t>热泵调峰占比</w:t>
      </w:r>
    </w:p>
    <w:p>
      <w:pPr>
        <w:pStyle w:val="77"/>
      </w:pPr>
      <w:r>
        <w:rPr>
          <w:rFonts w:hint="eastAsia"/>
        </w:rPr>
        <w:t>地热能开发利用方案</w:t>
      </w:r>
    </w:p>
    <w:p>
      <w:pPr>
        <w:pStyle w:val="54"/>
        <w:numPr>
          <w:ilvl w:val="0"/>
          <w:numId w:val="25"/>
        </w:numPr>
      </w:pPr>
      <w:r>
        <w:rPr>
          <w:rFonts w:hint="eastAsia"/>
        </w:rPr>
        <w:t>取热水井数部署与最大开井数、开井井次</w:t>
      </w:r>
    </w:p>
    <w:p>
      <w:pPr>
        <w:pStyle w:val="54"/>
        <w:numPr>
          <w:ilvl w:val="0"/>
          <w:numId w:val="25"/>
        </w:numPr>
      </w:pPr>
      <w:r>
        <w:rPr>
          <w:rFonts w:hint="eastAsia"/>
        </w:rPr>
        <w:t>地热尾水回灌井数部署与最大开井数、开井井次</w:t>
      </w:r>
    </w:p>
    <w:p>
      <w:pPr>
        <w:pStyle w:val="54"/>
        <w:numPr>
          <w:ilvl w:val="0"/>
          <w:numId w:val="25"/>
        </w:numPr>
      </w:pPr>
      <w:r>
        <w:rPr>
          <w:rFonts w:hint="eastAsia"/>
        </w:rPr>
        <w:t>板式换热器的设计与选型</w:t>
      </w:r>
    </w:p>
    <w:p>
      <w:pPr>
        <w:pStyle w:val="75"/>
        <w:numPr>
          <w:ilvl w:val="0"/>
          <w:numId w:val="26"/>
        </w:numPr>
        <w:ind w:firstLine="480"/>
      </w:pPr>
      <w:r>
        <w:rPr>
          <w:rFonts w:hint="eastAsia"/>
        </w:rPr>
        <w:t>换热板面积测算</w:t>
      </w:r>
    </w:p>
    <w:p>
      <w:pPr>
        <w:pStyle w:val="75"/>
        <w:ind w:firstLine="480"/>
      </w:pPr>
      <w:r>
        <w:rPr>
          <w:rFonts w:hint="eastAsia"/>
        </w:rPr>
        <w:t>换热器最大流量</w:t>
      </w:r>
    </w:p>
    <w:p>
      <w:pPr>
        <w:pStyle w:val="75"/>
        <w:ind w:firstLine="480"/>
      </w:pPr>
      <w:r>
        <w:rPr>
          <w:rFonts w:hint="eastAsia"/>
        </w:rPr>
        <w:t>地热尾水温度</w:t>
      </w:r>
    </w:p>
    <w:p>
      <w:pPr>
        <w:pStyle w:val="54"/>
        <w:numPr>
          <w:ilvl w:val="0"/>
          <w:numId w:val="25"/>
        </w:numPr>
      </w:pPr>
      <w:r>
        <w:rPr>
          <w:rFonts w:hint="eastAsia"/>
        </w:rPr>
        <w:t>调峰热泵的定制和选型</w:t>
      </w:r>
    </w:p>
    <w:p>
      <w:pPr>
        <w:pStyle w:val="75"/>
        <w:numPr>
          <w:ilvl w:val="0"/>
          <w:numId w:val="27"/>
        </w:numPr>
        <w:ind w:firstLine="480"/>
      </w:pPr>
      <w:r>
        <w:rPr>
          <w:rFonts w:hint="eastAsia"/>
        </w:rPr>
        <w:t>调峰热泵机组运行最大功率</w:t>
      </w:r>
    </w:p>
    <w:p>
      <w:pPr>
        <w:pStyle w:val="75"/>
        <w:numPr>
          <w:ilvl w:val="0"/>
          <w:numId w:val="27"/>
        </w:numPr>
        <w:ind w:firstLine="480"/>
      </w:pPr>
      <w:r>
        <w:rPr>
          <w:rFonts w:hint="eastAsia"/>
        </w:rPr>
        <w:t>调峰热泵机组输出最大流量</w:t>
      </w:r>
    </w:p>
    <w:p>
      <w:pPr>
        <w:pStyle w:val="75"/>
        <w:numPr>
          <w:ilvl w:val="0"/>
          <w:numId w:val="27"/>
        </w:numPr>
        <w:ind w:firstLine="480"/>
      </w:pPr>
      <w:r>
        <w:rPr>
          <w:rFonts w:hint="eastAsia"/>
        </w:rPr>
        <w:t>调峰热泵机组输出热水最高温度</w:t>
      </w:r>
    </w:p>
    <w:p>
      <w:pPr>
        <w:pStyle w:val="54"/>
        <w:numPr>
          <w:ilvl w:val="0"/>
          <w:numId w:val="25"/>
        </w:numPr>
      </w:pPr>
      <w:r>
        <w:rPr>
          <w:rFonts w:hint="eastAsia"/>
        </w:rPr>
        <w:t>地热水处理设备定制和选型</w:t>
      </w:r>
    </w:p>
    <w:p>
      <w:pPr>
        <w:pStyle w:val="54"/>
        <w:numPr>
          <w:ilvl w:val="0"/>
          <w:numId w:val="25"/>
        </w:numPr>
      </w:pPr>
      <w:r>
        <w:rPr>
          <w:rFonts w:hint="eastAsia"/>
        </w:rPr>
        <w:t>地热能开发利用效率</w:t>
      </w:r>
    </w:p>
    <w:p>
      <w:pPr>
        <w:pStyle w:val="77"/>
      </w:pPr>
      <w:r>
        <w:rPr>
          <w:rFonts w:hint="eastAsia"/>
        </w:rPr>
        <w:t>地热供热项目建设投资估算</w:t>
      </w:r>
    </w:p>
    <w:p>
      <w:pPr>
        <w:ind w:firstLine="480"/>
      </w:pPr>
      <w:r>
        <w:rPr>
          <w:rFonts w:hint="eastAsia"/>
        </w:rPr>
        <w:t>按照地热供热项目投资结构，测算项目建设投资费用，并进行投资结构分析</w:t>
      </w:r>
    </w:p>
    <w:p>
      <w:pPr>
        <w:pStyle w:val="77"/>
      </w:pPr>
      <w:r>
        <w:rPr>
          <w:rFonts w:hint="eastAsia"/>
        </w:rPr>
        <w:t>地热供热项目运营成本估算</w:t>
      </w:r>
    </w:p>
    <w:p>
      <w:pPr>
        <w:ind w:firstLine="480"/>
      </w:pPr>
      <w:r>
        <w:rPr>
          <w:rFonts w:hint="eastAsia"/>
        </w:rPr>
        <w:t>依据生产要素法，按照地热供热项目运行的成本结构，测算成本费用，并进行成本结构分析</w:t>
      </w:r>
    </w:p>
    <w:p>
      <w:pPr>
        <w:pStyle w:val="77"/>
      </w:pPr>
      <w:r>
        <w:rPr>
          <w:rFonts w:hint="eastAsia"/>
        </w:rPr>
        <w:t>供热季地热供热项目运营方案分析</w:t>
      </w:r>
    </w:p>
    <w:p>
      <w:pPr>
        <w:ind w:firstLine="480"/>
      </w:pPr>
      <w:bookmarkStart w:id="47" w:name="_Hlk150463827"/>
      <w:r>
        <w:rPr>
          <w:rFonts w:hint="eastAsia"/>
        </w:rPr>
        <w:t>在建设投资、固定成本、营业收入确定的条件下，</w:t>
      </w:r>
      <w:bookmarkEnd w:id="47"/>
      <w:r>
        <w:rPr>
          <w:rFonts w:hint="eastAsia"/>
        </w:rPr>
        <w:t>在保障供热季室内温度适宜性的基础上：</w:t>
      </w:r>
    </w:p>
    <w:p>
      <w:pPr>
        <w:pStyle w:val="54"/>
        <w:numPr>
          <w:ilvl w:val="0"/>
          <w:numId w:val="28"/>
        </w:numPr>
      </w:pPr>
      <w:r>
        <w:rPr>
          <w:rFonts w:hint="eastAsia"/>
        </w:rPr>
        <w:t>分析调峰占比对可变成本、运营成本的影响；</w:t>
      </w:r>
    </w:p>
    <w:p>
      <w:pPr>
        <w:pStyle w:val="54"/>
        <w:numPr>
          <w:ilvl w:val="0"/>
          <w:numId w:val="28"/>
        </w:numPr>
      </w:pPr>
      <w:r>
        <w:rPr>
          <w:rFonts w:hint="eastAsia"/>
        </w:rPr>
        <w:t>分析调峰占比对内部财务收益率、平准化热能供给成本的影响；</w:t>
      </w:r>
    </w:p>
    <w:p>
      <w:pPr>
        <w:pStyle w:val="54"/>
        <w:numPr>
          <w:ilvl w:val="0"/>
          <w:numId w:val="28"/>
        </w:numPr>
      </w:pPr>
      <w:r>
        <w:rPr>
          <w:rFonts w:hint="eastAsia"/>
        </w:rPr>
        <w:t>优化项目运营方案。</w:t>
      </w:r>
    </w:p>
    <w:p>
      <w:pPr>
        <w:pStyle w:val="77"/>
      </w:pPr>
      <w:r>
        <w:rPr>
          <w:rFonts w:hint="eastAsia"/>
        </w:rPr>
        <w:t>地热供热项目经济评价</w:t>
      </w:r>
    </w:p>
    <w:p>
      <w:pPr>
        <w:ind w:firstLine="480"/>
      </w:pPr>
      <w:r>
        <w:rPr>
          <w:rFonts w:hint="eastAsia"/>
        </w:rPr>
        <w:t>依据现金流法，按照评价期对地热供热项目预期的效益指标及平准化热能供给成本进行测算，并编制规范的财务分析报表</w:t>
      </w:r>
    </w:p>
    <w:p>
      <w:pPr>
        <w:pStyle w:val="77"/>
      </w:pPr>
      <w:r>
        <w:rPr>
          <w:rFonts w:hint="eastAsia"/>
        </w:rPr>
        <w:t>地热供热项目建设方案评价</w:t>
      </w:r>
    </w:p>
    <w:p>
      <w:pPr>
        <w:pStyle w:val="54"/>
        <w:numPr>
          <w:ilvl w:val="0"/>
          <w:numId w:val="29"/>
        </w:numPr>
      </w:pPr>
      <w:r>
        <w:rPr>
          <w:rFonts w:hint="eastAsia"/>
        </w:rPr>
        <w:t>依据供热季气温条件、供热建筑热能耗指标、保持的室内温度，对热泵调峰占比的合理性进行评价；</w:t>
      </w:r>
    </w:p>
    <w:p>
      <w:pPr>
        <w:pStyle w:val="54"/>
        <w:numPr>
          <w:ilvl w:val="0"/>
          <w:numId w:val="29"/>
        </w:numPr>
      </w:pPr>
      <w:r>
        <w:rPr>
          <w:rFonts w:hint="eastAsia"/>
        </w:rPr>
        <w:t>通过不同热泵调峰占比条件下的地热供热项目建设投资、运营成本、效益指标、平准化热能供给成本测算，对项目的经济行进行评价；</w:t>
      </w:r>
    </w:p>
    <w:p>
      <w:pPr>
        <w:pStyle w:val="54"/>
        <w:numPr>
          <w:ilvl w:val="0"/>
          <w:numId w:val="29"/>
        </w:numPr>
      </w:pPr>
      <w:r>
        <w:rPr>
          <w:rFonts w:hint="eastAsia"/>
        </w:rPr>
        <w:t>在建设投资、固定成本、营业收入确定的条件下，测算不同热泵调峰占比的项目运行可变成本、运营成本，对项目运营的科学性进行评价；</w:t>
      </w:r>
    </w:p>
    <w:bookmarkEnd w:id="43"/>
    <w:p>
      <w:pPr>
        <w:pStyle w:val="54"/>
        <w:numPr>
          <w:ilvl w:val="0"/>
          <w:numId w:val="29"/>
        </w:numPr>
      </w:pPr>
      <w:r>
        <w:rPr>
          <w:rFonts w:hint="eastAsia"/>
        </w:rPr>
        <w:t>依据地热供热项目建设方案评价的结论，对调整热泵调峰方案、地热水开采方案、热能供给方案、项目运营方案给出建议。</w:t>
      </w:r>
    </w:p>
    <w:p>
      <w:pPr>
        <w:ind w:firstLine="480"/>
        <w:rPr>
          <w:rFonts w:ascii="黑体" w:hAnsi="黑体" w:eastAsia="黑体"/>
        </w:rPr>
        <w:sectPr>
          <w:pgSz w:w="11906" w:h="16838"/>
          <w:pgMar w:top="1440" w:right="1800" w:bottom="1440" w:left="1800" w:header="851" w:footer="737" w:gutter="0"/>
          <w:cols w:space="425" w:num="1"/>
          <w:docGrid w:type="lines" w:linePitch="326" w:charSpace="0"/>
        </w:sectPr>
      </w:pPr>
    </w:p>
    <w:p>
      <w:pPr>
        <w:pStyle w:val="76"/>
        <w:tabs>
          <w:tab w:val="clear" w:pos="360"/>
        </w:tabs>
      </w:pPr>
      <w:bookmarkStart w:id="48" w:name="_Toc166739132"/>
      <w:r>
        <w:rPr>
          <w:rFonts w:hint="eastAsia" w:ascii="黑体" w:hAnsi="黑体"/>
        </w:rPr>
        <w:t>附录：地热供热项目经济评价相关参数计算方法</w:t>
      </w:r>
      <w:bookmarkEnd w:id="48"/>
    </w:p>
    <w:p>
      <w:pPr>
        <w:pStyle w:val="74"/>
        <w:numPr>
          <w:ilvl w:val="1"/>
          <w:numId w:val="17"/>
        </w:numPr>
        <w:spacing w:beforeLines="0" w:afterLines="0"/>
        <w:rPr>
          <w:rFonts w:asciiTheme="majorHAnsi" w:hAnsiTheme="majorHAnsi"/>
        </w:rPr>
      </w:pPr>
      <w:r>
        <w:rPr>
          <w:rFonts w:hint="eastAsia"/>
        </w:rPr>
        <w:t>地热供热项目供热建筑热能耗计算</w:t>
      </w:r>
    </w:p>
    <w:p>
      <w:pPr>
        <w:ind w:firstLine="480"/>
      </w:pPr>
      <w:r>
        <w:rPr>
          <w:rFonts w:hint="eastAsia"/>
        </w:rPr>
        <w:t>地热供热项目供热建筑的热能耗依据当地供热季气象条件、供热保持的室内温度、及其供热建筑热耗能参数进行计算，见公式1。</w:t>
      </w:r>
    </w:p>
    <w:p>
      <w:pPr>
        <w:ind w:firstLine="480"/>
        <w:jc w:val="right"/>
      </w:pPr>
      <m:oMath>
        <m:sSub>
          <m:sSubPr>
            <m:ctrlPr>
              <w:rPr>
                <w:rFonts w:ascii="Cambria Math" w:hAnsi="Cambria Math"/>
              </w:rPr>
            </m:ctrlPr>
          </m:sSubPr>
          <m:e>
            <m:r>
              <m:rPr/>
              <w:rPr>
                <w:rFonts w:hint="eastAsia" w:ascii="Cambria Math" w:hAnsi="Cambria Math"/>
              </w:rPr>
              <m:t>q</m:t>
            </m:r>
            <m:r>
              <m:rPr/>
              <w:rPr>
                <w:rFonts w:hint="eastAsia" w:ascii="Cambria Math" w:hAnsi="Cambria Math" w:eastAsia="MS Gothic" w:cs="MS Gothic"/>
              </w:rPr>
              <m:t>ℎ</m:t>
            </m:r>
            <m:ctrlPr>
              <w:rPr>
                <w:rFonts w:ascii="Cambria Math" w:hAnsi="Cambria Math"/>
              </w:rPr>
            </m:ctrlPr>
          </m:e>
          <m:sub>
            <m:r>
              <m:rPr/>
              <w:rPr>
                <w:rFonts w:ascii="Cambria Math" w:hAnsi="Cambria Math"/>
              </w:rPr>
              <m:t>T</m:t>
            </m:r>
            <m:ctrlPr>
              <w:rPr>
                <w:rFonts w:ascii="Cambria Math" w:hAnsi="Cambria Math"/>
              </w:rPr>
            </m:ctrlPr>
          </m:sub>
        </m:sSub>
        <m:r>
          <m:rPr>
            <m:sty m:val="p"/>
          </m:rPr>
          <w:rPr>
            <w:rFonts w:ascii="Cambria Math" w:hAnsi="Cambria Math"/>
          </w:rPr>
          <m:t>=</m:t>
        </m:r>
        <m:r>
          <m:rPr/>
          <w:rPr>
            <w:rFonts w:hint="eastAsia" w:ascii="Cambria Math" w:hAnsi="Cambria Math"/>
          </w:rPr>
          <m:t>q</m:t>
        </m:r>
        <m:r>
          <m:rPr/>
          <w:rPr>
            <w:rFonts w:hint="eastAsia" w:ascii="Cambria Math" w:hAnsi="Cambria Math" w:eastAsia="MS Gothic" w:cs="MS Gothic"/>
          </w:rPr>
          <m:t>ℎ</m:t>
        </m:r>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n</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m:t>
                </m:r>
                <m:ctrlPr>
                  <w:rPr>
                    <w:rFonts w:ascii="Cambria Math" w:hAnsi="Cambria Math"/>
                  </w:rPr>
                </m:ctrlPr>
              </m:sub>
            </m:sSub>
            <m:ctrlPr>
              <w:rPr>
                <w:rFonts w:ascii="Cambria Math" w:hAnsi="Cambria Math"/>
              </w:rPr>
            </m:ctrlPr>
          </m:num>
          <m:den>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n</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wj</m:t>
                </m:r>
                <m:ctrlPr>
                  <w:rPr>
                    <w:rFonts w:ascii="Cambria Math" w:hAnsi="Cambria Math"/>
                  </w:rPr>
                </m:ctrlPr>
              </m:sub>
            </m:sSub>
            <m:ctrlPr>
              <w:rPr>
                <w:rFonts w:ascii="Cambria Math" w:hAnsi="Cambria Math"/>
              </w:rPr>
            </m:ctrlPr>
          </m:den>
        </m:f>
      </m:oMath>
      <w:r>
        <w:rPr>
          <w:rFonts w:hint="eastAsia"/>
        </w:rPr>
        <w:t xml:space="preserve"> </w:t>
      </w:r>
      <w:r>
        <w:t xml:space="preserve">                    </w:t>
      </w:r>
      <w:r>
        <w:rPr>
          <w:rFonts w:hint="eastAsia"/>
        </w:rPr>
        <w:t>（1）</w:t>
      </w:r>
    </w:p>
    <w:p>
      <w:pPr>
        <w:ind w:firstLine="480"/>
      </w:pPr>
      <w:r>
        <w:rPr>
          <w:rFonts w:hint="eastAsia"/>
        </w:rPr>
        <w:t>式中：</w:t>
      </w:r>
    </w:p>
    <w:p>
      <w:pPr>
        <w:pStyle w:val="92"/>
        <w:ind w:left="960" w:firstLine="480"/>
      </w:pPr>
      <m:oMath>
        <m:sSub>
          <m:sSubPr/>
          <m:e>
            <m:r>
              <m:rPr/>
              <w:rPr>
                <w:rFonts w:hint="eastAsia"/>
              </w:rPr>
              <m:t>q</m:t>
            </m:r>
            <m:r>
              <m:rPr/>
              <w:rPr>
                <w:rFonts w:hint="eastAsia" w:eastAsia="MS Gothic" w:cs="MS Gothic"/>
              </w:rPr>
              <m:t>ℎ</m:t>
            </m:r>
          </m:e>
          <m:sub>
            <m:r>
              <m:rPr/>
              <m:t>T</m:t>
            </m:r>
          </m:sub>
        </m:sSub>
      </m:oMath>
      <w:r>
        <w:rPr>
          <w:rFonts w:hint="eastAsia"/>
        </w:rPr>
        <w:t>为供热季保持采暖室内温度在不同室外温度条件下的供热建筑热能耗；单位</w:t>
      </w:r>
      <m:oMath>
        <m:r>
          <m:rPr/>
          <m:t>W/</m:t>
        </m:r>
        <m:sSup>
          <m:sSupPr>
            <m:ctrlPr>
              <w:rPr>
                <w:i/>
              </w:rPr>
            </m:ctrlPr>
          </m:sSupPr>
          <m:e>
            <m:r>
              <m:rPr/>
              <w:rPr>
                <w:rFonts w:hint="eastAsia"/>
              </w:rPr>
              <m:t>m</m:t>
            </m:r>
            <m:ctrlPr>
              <w:rPr>
                <w:i/>
              </w:rPr>
            </m:ctrlPr>
          </m:e>
          <m:sup>
            <m:r>
              <m:rPr/>
              <m:t>2</m:t>
            </m:r>
            <m:ctrlPr>
              <w:rPr>
                <w:i/>
              </w:rPr>
            </m:ctrlPr>
          </m:sup>
        </m:sSup>
      </m:oMath>
      <w:r>
        <w:rPr>
          <w:rFonts w:hint="eastAsia"/>
        </w:rPr>
        <w:t>；</w:t>
      </w:r>
    </w:p>
    <w:p>
      <w:pPr>
        <w:pStyle w:val="92"/>
        <w:ind w:left="960" w:firstLine="480"/>
      </w:pPr>
      <m:oMath>
        <m:r>
          <m:rPr/>
          <w:rPr>
            <w:rFonts w:hint="eastAsia"/>
          </w:rPr>
          <m:t>q</m:t>
        </m:r>
        <m:r>
          <m:rPr/>
          <w:rPr>
            <w:rFonts w:hint="eastAsia" w:eastAsia="MS Gothic" w:cs="MS Gothic"/>
          </w:rPr>
          <m:t>ℎ</m:t>
        </m:r>
      </m:oMath>
      <w:r>
        <w:rPr>
          <w:rFonts w:hint="eastAsia"/>
        </w:rPr>
        <w:t>为供热建筑热能耗指标，单位</w:t>
      </w:r>
      <m:oMath>
        <m:r>
          <m:rPr/>
          <m:t>W/</m:t>
        </m:r>
        <m:sSup>
          <m:sSupPr>
            <m:ctrlPr>
              <w:rPr>
                <w:i/>
              </w:rPr>
            </m:ctrlPr>
          </m:sSupPr>
          <m:e>
            <m:r>
              <m:rPr/>
              <w:rPr>
                <w:rFonts w:hint="eastAsia"/>
              </w:rPr>
              <m:t>m</m:t>
            </m:r>
            <m:ctrlPr>
              <w:rPr>
                <w:i/>
              </w:rPr>
            </m:ctrlPr>
          </m:e>
          <m:sup>
            <m:r>
              <m:rPr/>
              <m:t>2</m:t>
            </m:r>
            <m:ctrlPr>
              <w:rPr>
                <w:i/>
              </w:rPr>
            </m:ctrlPr>
          </m:sup>
        </m:sSup>
      </m:oMath>
      <w:r>
        <w:rPr>
          <w:rFonts w:hint="eastAsia"/>
        </w:rPr>
        <w:t>；</w:t>
      </w:r>
    </w:p>
    <w:p>
      <w:pPr>
        <w:pStyle w:val="92"/>
        <w:ind w:left="960" w:firstLine="480"/>
      </w:pPr>
      <m:oMath>
        <m:sSub>
          <m:sSubPr/>
          <m:e>
            <m:r>
              <m:rPr/>
              <w:rPr>
                <w:rFonts w:hint="eastAsia"/>
              </w:rPr>
              <m:t>t</m:t>
            </m:r>
          </m:e>
          <m:sub>
            <m:r>
              <m:rPr/>
              <w:rPr>
                <w:rFonts w:hint="eastAsia"/>
              </w:rPr>
              <m:t>n</m:t>
            </m:r>
          </m:sub>
        </m:sSub>
      </m:oMath>
      <w:r>
        <w:rPr>
          <w:rFonts w:hint="eastAsia"/>
        </w:rPr>
        <w:t>为供热季供热建筑需保持的室内温度，单位</w:t>
      </w:r>
      <m:oMath>
        <m:r>
          <m:rPr/>
          <w:rPr>
            <w:rFonts w:hint="eastAsia"/>
          </w:rPr>
          <m:t>℃</m:t>
        </m:r>
      </m:oMath>
      <w:r>
        <w:rPr>
          <w:rFonts w:hint="eastAsia"/>
        </w:rPr>
        <w:t>；</w:t>
      </w:r>
    </w:p>
    <w:p>
      <w:pPr>
        <w:pStyle w:val="92"/>
        <w:ind w:left="960" w:firstLine="480"/>
      </w:pPr>
      <m:oMath>
        <m:sSub>
          <m:sSubPr/>
          <m:e>
            <m:r>
              <m:rPr/>
              <w:rPr>
                <w:rFonts w:hint="eastAsia"/>
              </w:rPr>
              <m:t>t</m:t>
            </m:r>
          </m:e>
          <m:sub>
            <m:r>
              <m:rPr/>
              <w:rPr>
                <w:rFonts w:hint="eastAsia"/>
              </w:rPr>
              <m:t>wj</m:t>
            </m:r>
          </m:sub>
        </m:sSub>
      </m:oMath>
      <w:r>
        <w:rPr>
          <w:rFonts w:hint="eastAsia"/>
        </w:rPr>
        <w:t>为供热建筑热能耗指标计算室外温度，单位</w:t>
      </w:r>
      <m:oMath>
        <m:r>
          <m:rPr/>
          <w:rPr>
            <w:rFonts w:hint="eastAsia"/>
          </w:rPr>
          <m:t>℃</m:t>
        </m:r>
      </m:oMath>
      <w:r>
        <w:rPr>
          <w:rFonts w:hint="eastAsia"/>
        </w:rPr>
        <w:t>；</w:t>
      </w:r>
    </w:p>
    <w:p>
      <w:pPr>
        <w:pStyle w:val="92"/>
        <w:ind w:left="960" w:firstLine="480"/>
      </w:pPr>
      <m:oMath>
        <m:sSub>
          <m:sSubPr/>
          <m:e>
            <m:r>
              <m:rPr/>
              <w:rPr>
                <w:rFonts w:hint="eastAsia"/>
              </w:rPr>
              <m:t>t</m:t>
            </m:r>
          </m:e>
          <m:sub>
            <m:r>
              <m:rPr/>
              <w:rPr>
                <w:rFonts w:hint="eastAsia"/>
              </w:rPr>
              <m:t>w</m:t>
            </m:r>
          </m:sub>
        </m:sSub>
      </m:oMath>
      <w:r>
        <w:rPr>
          <w:rFonts w:hint="eastAsia"/>
        </w:rPr>
        <w:t>为供热时的室外温度，单位</w:t>
      </w:r>
      <m:oMath>
        <m:r>
          <m:rPr/>
          <w:rPr>
            <w:rFonts w:hint="eastAsia"/>
          </w:rPr>
          <m:t>℃</m:t>
        </m:r>
      </m:oMath>
      <w:r>
        <w:rPr>
          <w:rFonts w:hint="eastAsia"/>
        </w:rPr>
        <w:t>。</w:t>
      </w:r>
    </w:p>
    <w:p>
      <w:pPr>
        <w:pStyle w:val="74"/>
        <w:numPr>
          <w:ilvl w:val="1"/>
          <w:numId w:val="17"/>
        </w:numPr>
        <w:spacing w:beforeLines="0" w:afterLines="0"/>
      </w:pPr>
      <w:r>
        <w:rPr>
          <w:rFonts w:hint="eastAsia"/>
        </w:rPr>
        <w:t>地热供热项目的热负荷测算</w:t>
      </w:r>
    </w:p>
    <w:p>
      <w:pPr>
        <w:ind w:firstLine="480"/>
      </w:pPr>
      <w:r>
        <w:rPr>
          <w:rFonts w:hint="eastAsia"/>
        </w:rPr>
        <w:t>地热供热项目的热负荷按照不同供热建筑热能耗指标、建筑面积进行计算，见公式</w:t>
      </w:r>
      <w:r>
        <w:t>2</w:t>
      </w:r>
      <w:r>
        <w:rPr>
          <w:rFonts w:hint="eastAsia"/>
        </w:rPr>
        <w:t>。</w:t>
      </w:r>
    </w:p>
    <w:p>
      <w:pPr>
        <w:wordWrap w:val="0"/>
        <w:ind w:firstLine="480"/>
        <w:jc w:val="right"/>
      </w:pPr>
      <m:oMath>
        <m:sSub>
          <m:sSubPr>
            <m:ctrlPr>
              <w:rPr>
                <w:rFonts w:ascii="Cambria Math" w:hAnsi="Cambria Math" w:cstheme="minorBidi"/>
                <w:szCs w:val="22"/>
              </w:rPr>
            </m:ctrlPr>
          </m:sSubPr>
          <m:e>
            <m:r>
              <m:rPr>
                <m:sty m:val="p"/>
              </m:rPr>
              <w:rPr>
                <w:rFonts w:ascii="Cambria Math" w:hAnsi="Cambria Math"/>
              </w:rPr>
              <m:t>Ｑ</m:t>
            </m:r>
            <m:ctrlPr>
              <w:rPr>
                <w:rFonts w:ascii="Cambria Math" w:hAnsi="Cambria Math" w:cstheme="minorBidi"/>
                <w:szCs w:val="22"/>
              </w:rPr>
            </m:ctrlPr>
          </m:e>
          <m:sub>
            <m:r>
              <m:rPr/>
              <w:rPr>
                <w:rFonts w:ascii="Cambria Math" w:hAnsi="Cambria Math"/>
              </w:rPr>
              <m:t>T</m:t>
            </m:r>
            <m:ctrlPr>
              <w:rPr>
                <w:rFonts w:ascii="Cambria Math" w:hAnsi="Cambria Math" w:cstheme="minorBidi"/>
                <w:szCs w:val="22"/>
              </w:rPr>
            </m:ctrlPr>
          </m:sub>
        </m:sSub>
        <m:r>
          <m:rPr>
            <m:sty m:val="p"/>
          </m:rPr>
          <w:rPr>
            <w:rFonts w:hint="eastAsia" w:ascii="Cambria Math" w:hAnsi="Cambria Math"/>
          </w:rPr>
          <m:t>=</m:t>
        </m:r>
        <m:nary>
          <m:naryPr>
            <m:chr m:val="∑"/>
            <m:limLoc m:val="undOvr"/>
            <m:ctrlPr>
              <w:rPr>
                <w:rFonts w:ascii="Cambria Math" w:hAnsi="Cambria Math"/>
              </w:rPr>
            </m:ctrlPr>
          </m:naryPr>
          <m:sub>
            <m:r>
              <m:rPr/>
              <w:rPr>
                <w:rFonts w:hint="eastAsia" w:ascii="Cambria Math" w:hAnsi="Cambria Math"/>
              </w:rPr>
              <m:t>i</m:t>
            </m:r>
            <m:r>
              <m:rPr>
                <m:sty m:val="p"/>
              </m:rPr>
              <w:rPr>
                <w:rFonts w:ascii="Cambria Math" w:hAnsi="Cambria Math"/>
              </w:rPr>
              <m:t>=1</m:t>
            </m:r>
            <m:ctrlPr>
              <w:rPr>
                <w:rFonts w:ascii="Cambria Math" w:hAnsi="Cambria Math"/>
              </w:rPr>
            </m:ctrlPr>
          </m:sub>
          <m:sup>
            <m:r>
              <m:rPr/>
              <w:rPr>
                <w:rFonts w:hint="eastAsia" w:ascii="Cambria Math" w:hAnsi="Cambria Math"/>
              </w:rPr>
              <m:t>n</m:t>
            </m:r>
            <m:ctrlPr>
              <w:rPr>
                <w:rFonts w:ascii="Cambria Math" w:hAnsi="Cambria Math"/>
              </w:rPr>
            </m:ctrlPr>
          </m:sup>
          <m:e>
            <m:sSub>
              <m:sSubPr>
                <m:ctrlPr>
                  <w:rPr>
                    <w:rFonts w:ascii="Cambria Math" w:hAnsi="Cambria Math"/>
                  </w:rPr>
                </m:ctrlPr>
              </m:sSubPr>
              <m:e>
                <m:r>
                  <m:rPr/>
                  <w:rPr>
                    <w:rFonts w:hint="eastAsia" w:ascii="Cambria Math" w:hAnsi="Cambria Math"/>
                  </w:rPr>
                  <m:t>q</m:t>
                </m:r>
                <m:r>
                  <m:rPr/>
                  <w:rPr>
                    <w:rFonts w:hint="eastAsia" w:ascii="Cambria Math" w:hAnsi="Cambria Math" w:eastAsia="MS Gothic" w:cs="MS Gothic"/>
                  </w:rPr>
                  <m:t>ℎ</m:t>
                </m:r>
                <m:ctrlPr>
                  <w:rPr>
                    <w:rFonts w:ascii="Cambria Math" w:hAnsi="Cambria Math"/>
                  </w:rPr>
                </m:ctrlPr>
              </m:e>
              <m:sub>
                <m:r>
                  <m:rPr/>
                  <w:rPr>
                    <w:rFonts w:ascii="Cambria Math" w:hAnsi="Cambria Math"/>
                  </w:rPr>
                  <m:t>T</m:t>
                </m:r>
                <m:r>
                  <m:rPr/>
                  <w:rPr>
                    <w:rFonts w:hint="eastAsia" w:ascii="Cambria Math" w:hAnsi="Cambria Math"/>
                  </w:rPr>
                  <m:t>i</m:t>
                </m:r>
                <m:ctrlPr>
                  <w:rPr>
                    <w:rFonts w:ascii="Cambria Math" w:hAnsi="Cambria Math"/>
                  </w:rPr>
                </m:ctrlPr>
              </m:sub>
            </m:sSub>
            <m:r>
              <m:rPr>
                <m:sty m:val="p"/>
              </m:rPr>
              <w:rPr>
                <w:rFonts w:hint="eastAsia" w:ascii="Cambria Math" w:hAnsi="Cambria Math"/>
              </w:rPr>
              <m:t>×</m:t>
            </m:r>
            <m:ctrlPr>
              <w:rPr>
                <w:rFonts w:ascii="Cambria Math" w:hAnsi="Cambria Math"/>
              </w:rPr>
            </m:ctrlPr>
          </m:e>
        </m:nary>
        <m:sSub>
          <m:sSubPr>
            <m:ctrlPr>
              <w:rPr>
                <w:rFonts w:ascii="Cambria Math" w:hAnsi="Cambria Math"/>
              </w:rPr>
            </m:ctrlPr>
          </m:sSubPr>
          <m:e>
            <m:r>
              <m:rPr/>
              <w:rPr>
                <w:rFonts w:hint="eastAsia" w:ascii="Cambria Math" w:hAnsi="Cambria Math"/>
              </w:rPr>
              <m:t>A</m:t>
            </m:r>
            <m:r>
              <m:rPr/>
              <w:rPr>
                <w:rFonts w:hint="eastAsia" w:ascii="MS Gothic" w:hAnsi="MS Gothic" w:eastAsia="MS Gothic" w:cs="MS Gothic"/>
                <w:vertAlign w:val="subscript"/>
              </w:rPr>
              <m:t>ℎ</m:t>
            </m:r>
            <m:ctrlPr>
              <w:rPr>
                <w:rFonts w:ascii="Cambria Math" w:hAnsi="Cambria Math"/>
              </w:rPr>
            </m:ctrlPr>
          </m:e>
          <m:sub>
            <m:r>
              <m:rPr/>
              <w:rPr>
                <w:rFonts w:hint="eastAsia" w:ascii="Cambria Math" w:hAnsi="Cambria Math"/>
              </w:rPr>
              <m:t>i</m:t>
            </m:r>
            <m:ctrlPr>
              <w:rPr>
                <w:rFonts w:ascii="Cambria Math" w:hAnsi="Cambria Math"/>
              </w:rPr>
            </m:ctrlPr>
          </m:sub>
        </m:sSub>
        <m:r>
          <m:rPr>
            <m:sty m:val="p"/>
          </m:rPr>
          <w:rPr>
            <w:rFonts w:hint="eastAsia" w:ascii="Cambria Math" w:hAnsi="Cambria Math"/>
          </w:rPr>
          <m:t>×</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m:sty m:val="p"/>
              </m:rPr>
              <w:rPr>
                <w:rFonts w:ascii="Cambria Math" w:hAnsi="Cambria Math"/>
              </w:rPr>
              <m:t>−3</m:t>
            </m:r>
            <m:ctrlPr>
              <w:rPr>
                <w:rFonts w:ascii="Cambria Math" w:hAnsi="Cambria Math"/>
              </w:rPr>
            </m:ctrlPr>
          </m:sup>
        </m:sSup>
        <m:r>
          <m:rPr>
            <m:sty m:val="p"/>
          </m:rPr>
          <w:rPr>
            <w:rFonts w:hint="eastAsia" w:ascii="Cambria Math" w:hAnsi="Cambria Math"/>
          </w:rPr>
          <m:t xml:space="preserve"> </m:t>
        </m:r>
      </m:oMath>
      <w:r>
        <w:rPr>
          <w:rFonts w:hint="eastAsia"/>
        </w:rPr>
        <w:t xml:space="preserve"> </w:t>
      </w:r>
      <w:r>
        <w:t xml:space="preserve">                 </w:t>
      </w:r>
      <w:r>
        <w:rPr>
          <w:rFonts w:hint="eastAsia"/>
        </w:rPr>
        <w:t>（</w:t>
      </w:r>
      <w:r>
        <w:t>2</w:t>
      </w:r>
      <w:r>
        <w:rPr>
          <w:rFonts w:hint="eastAsia"/>
        </w:rPr>
        <w:t>）</w:t>
      </w:r>
    </w:p>
    <w:p>
      <w:pPr>
        <w:ind w:firstLine="480"/>
      </w:pPr>
      <w:r>
        <w:rPr>
          <w:rFonts w:hint="eastAsia"/>
        </w:rPr>
        <w:t>式中：</w:t>
      </w:r>
    </w:p>
    <w:p>
      <w:pPr>
        <w:pStyle w:val="92"/>
        <w:ind w:left="960" w:firstLine="480"/>
      </w:pPr>
      <m:oMath>
        <m:sSub>
          <m:sSubPr>
            <m:ctrlPr>
              <w:rPr>
                <w:rFonts w:cstheme="minorBidi"/>
                <w:i/>
              </w:rPr>
            </m:ctrlPr>
          </m:sSubPr>
          <m:e>
            <m:r>
              <m:rPr/>
              <m:t>Ｑ</m:t>
            </m:r>
            <m:ctrlPr>
              <w:rPr>
                <w:rFonts w:cstheme="minorBidi"/>
                <w:i/>
              </w:rPr>
            </m:ctrlPr>
          </m:e>
          <m:sub>
            <m:r>
              <m:rPr/>
              <m:t>T</m:t>
            </m:r>
            <m:ctrlPr>
              <w:rPr>
                <w:rFonts w:cstheme="minorBidi"/>
                <w:i/>
              </w:rPr>
            </m:ctrlPr>
          </m:sub>
        </m:sSub>
      </m:oMath>
      <w:r>
        <w:rPr>
          <w:rFonts w:hint="eastAsia"/>
        </w:rPr>
        <w:t>为项目供热建筑采暖热负荷，单位</w:t>
      </w:r>
      <m:oMath>
        <m:r>
          <m:rPr/>
          <w:rPr>
            <w:rFonts w:hint="eastAsia"/>
          </w:rPr>
          <m:t>kW</m:t>
        </m:r>
      </m:oMath>
      <w:r>
        <w:rPr>
          <w:rFonts w:hint="eastAsia"/>
        </w:rPr>
        <w:t>；</w:t>
      </w:r>
    </w:p>
    <w:p>
      <w:pPr>
        <w:pStyle w:val="92"/>
        <w:ind w:left="960" w:firstLine="480"/>
      </w:pPr>
      <m:oMath>
        <m:sSub>
          <m:sSubPr>
            <m:ctrlPr>
              <w:rPr>
                <w:i/>
              </w:rPr>
            </m:ctrlPr>
          </m:sSubPr>
          <m:e>
            <m:r>
              <m:rPr/>
              <w:rPr>
                <w:rFonts w:hint="eastAsia"/>
              </w:rPr>
              <m:t>q</m:t>
            </m:r>
            <m:r>
              <m:rPr/>
              <w:rPr>
                <w:rFonts w:hint="eastAsia" w:eastAsia="MS Gothic" w:cs="MS Gothic"/>
              </w:rPr>
              <m:t>ℎ</m:t>
            </m:r>
            <m:ctrlPr>
              <w:rPr>
                <w:i/>
              </w:rPr>
            </m:ctrlPr>
          </m:e>
          <m:sub>
            <m:r>
              <m:rPr/>
              <m:t>T</m:t>
            </m:r>
            <m:r>
              <m:rPr/>
              <w:rPr>
                <w:rFonts w:hint="eastAsia"/>
              </w:rPr>
              <m:t>i</m:t>
            </m:r>
            <m:ctrlPr>
              <w:rPr>
                <w:i/>
              </w:rPr>
            </m:ctrlPr>
          </m:sub>
        </m:sSub>
      </m:oMath>
      <w:r>
        <w:rPr>
          <w:rFonts w:hint="eastAsia"/>
        </w:rPr>
        <w:t>为不同类型建筑设计热能耗，单位</w:t>
      </w:r>
      <m:oMath>
        <m:r>
          <m:rPr/>
          <w:rPr>
            <w:rFonts w:hint="eastAsia"/>
          </w:rPr>
          <m:t>W/</m:t>
        </m:r>
        <m:sSup>
          <m:sSupPr>
            <m:ctrlPr>
              <w:rPr>
                <w:i/>
              </w:rPr>
            </m:ctrlPr>
          </m:sSupPr>
          <m:e>
            <m:r>
              <m:rPr/>
              <w:rPr>
                <w:rFonts w:hint="eastAsia"/>
              </w:rPr>
              <m:t>m</m:t>
            </m:r>
            <m:ctrlPr>
              <w:rPr>
                <w:i/>
              </w:rPr>
            </m:ctrlPr>
          </m:e>
          <m:sup>
            <m:r>
              <m:rPr/>
              <m:t>2</m:t>
            </m:r>
            <m:ctrlPr>
              <w:rPr>
                <w:i/>
              </w:rPr>
            </m:ctrlPr>
          </m:sup>
        </m:sSup>
      </m:oMath>
      <w:r>
        <w:rPr>
          <w:rFonts w:hint="eastAsia"/>
        </w:rPr>
        <w:t>；</w:t>
      </w:r>
    </w:p>
    <w:p>
      <w:pPr>
        <w:pStyle w:val="92"/>
        <w:ind w:left="960" w:firstLine="480"/>
      </w:pPr>
      <m:oMath>
        <m:sSub>
          <m:sSubPr>
            <m:ctrlPr>
              <w:rPr>
                <w:i/>
              </w:rPr>
            </m:ctrlPr>
          </m:sSubPr>
          <m:e>
            <m:r>
              <m:rPr/>
              <w:rPr>
                <w:rFonts w:hint="eastAsia"/>
              </w:rPr>
              <m:t>A</m:t>
            </m:r>
            <m:r>
              <m:rPr/>
              <w:rPr>
                <w:rFonts w:hint="eastAsia" w:eastAsia="MS Mincho" w:cs="MS Mincho"/>
                <w:vertAlign w:val="subscript"/>
              </w:rPr>
              <m:t>ℎ</m:t>
            </m:r>
            <m:ctrlPr>
              <w:rPr>
                <w:i/>
              </w:rPr>
            </m:ctrlPr>
          </m:e>
          <m:sub>
            <m:r>
              <m:rPr/>
              <w:rPr>
                <w:rFonts w:hint="eastAsia"/>
              </w:rPr>
              <m:t>i</m:t>
            </m:r>
            <m:ctrlPr>
              <w:rPr>
                <w:i/>
              </w:rPr>
            </m:ctrlPr>
          </m:sub>
        </m:sSub>
      </m:oMath>
      <w:r>
        <w:rPr>
          <w:rFonts w:hint="eastAsia"/>
        </w:rPr>
        <w:t>不同类型建筑供热面积，单位</w:t>
      </w:r>
      <m:oMath>
        <m:sSup>
          <m:sSupPr>
            <m:ctrlPr>
              <w:rPr>
                <w:i/>
              </w:rPr>
            </m:ctrlPr>
          </m:sSupPr>
          <m:e>
            <m:r>
              <m:rPr/>
              <w:rPr>
                <w:rFonts w:hint="eastAsia"/>
              </w:rPr>
              <m:t>m</m:t>
            </m:r>
            <m:ctrlPr>
              <w:rPr>
                <w:i/>
              </w:rPr>
            </m:ctrlPr>
          </m:e>
          <m:sup>
            <m:r>
              <m:rPr/>
              <m:t>2</m:t>
            </m:r>
            <m:ctrlPr>
              <w:rPr>
                <w:i/>
              </w:rPr>
            </m:ctrlPr>
          </m:sup>
        </m:sSup>
      </m:oMath>
      <w:r>
        <w:rPr>
          <w:rFonts w:hint="eastAsia"/>
        </w:rPr>
        <w:t>。</w:t>
      </w:r>
    </w:p>
    <w:p>
      <w:pPr>
        <w:pStyle w:val="74"/>
        <w:numPr>
          <w:ilvl w:val="1"/>
          <w:numId w:val="17"/>
        </w:numPr>
        <w:spacing w:beforeLines="0" w:afterLines="0"/>
      </w:pPr>
      <w:r>
        <w:rPr>
          <w:rFonts w:hint="eastAsia"/>
        </w:rPr>
        <w:t>热泵调峰占比</w:t>
      </w:r>
    </w:p>
    <w:p>
      <w:pPr>
        <w:ind w:firstLine="480"/>
      </w:pPr>
      <w:r>
        <w:rPr>
          <w:rFonts w:hint="eastAsia"/>
        </w:rPr>
        <w:t>热泵调峰占比依据调峰热泵启停控制温度、供热季最低室外温度进行计算，见公式3。</w:t>
      </w:r>
    </w:p>
    <w:p>
      <w:pPr>
        <w:ind w:firstLine="480"/>
        <w:jc w:val="right"/>
      </w:pPr>
      <m:oMath>
        <m:sSub>
          <m:sSubPr>
            <m:ctrlPr>
              <w:rPr>
                <w:rFonts w:ascii="Cambria Math" w:hAnsi="Cambria Math"/>
              </w:rPr>
            </m:ctrlPr>
          </m:sSubPr>
          <m:e>
            <m:r>
              <m:rPr/>
              <w:rPr>
                <w:rFonts w:ascii="Cambria Math" w:hAnsi="Cambria Math"/>
              </w:rPr>
              <m:t>R</m:t>
            </m:r>
            <m:ctrlPr>
              <w:rPr>
                <w:rFonts w:ascii="Cambria Math" w:hAnsi="Cambria Math"/>
              </w:rPr>
            </m:ctrlPr>
          </m:e>
          <m:sub>
            <m:r>
              <m:rPr/>
              <w:rPr>
                <w:rFonts w:ascii="Cambria Math" w:hAnsi="Cambria Math"/>
              </w:rPr>
              <m:t>TB</m:t>
            </m:r>
            <m:ctrlPr>
              <w:rPr>
                <w:rFonts w:ascii="Cambria Math" w:hAnsi="Cambria Math"/>
              </w:rPr>
            </m:ctrlPr>
          </m:sub>
        </m:sSub>
        <m:r>
          <m:rPr>
            <m:sty m:val="p"/>
          </m:rPr>
          <w:rPr>
            <w:rFonts w:ascii="Cambria Math" w:hAnsi="Cambria Math"/>
          </w:rPr>
          <m:t>=</m:t>
        </m:r>
        <m:f>
          <m:fPr>
            <m:ctrlPr>
              <w:rPr>
                <w:rFonts w:ascii="Cambria Math" w:hAnsi="Cambria Math"/>
              </w:rPr>
            </m:ctrlPr>
          </m:fPr>
          <m:num>
            <m:sSub>
              <m:sSubPr>
                <m:ctrlPr>
                  <w:rPr>
                    <w:rFonts w:ascii="Cambria Math" w:hAnsi="Cambria Math"/>
                    <w:i/>
                    <w:iCs/>
                  </w:rPr>
                </m:ctrlPr>
              </m:sSubPr>
              <m:e>
                <m:r>
                  <m:rPr/>
                  <w:rPr>
                    <w:rFonts w:ascii="Cambria Math" w:hAnsi="Cambria Math"/>
                  </w:rPr>
                  <m:t>T</m:t>
                </m:r>
                <m:ctrlPr>
                  <w:rPr>
                    <w:rFonts w:ascii="Cambria Math" w:hAnsi="Cambria Math"/>
                    <w:i/>
                    <w:iCs/>
                  </w:rPr>
                </m:ctrlPr>
              </m:e>
              <m:sub>
                <m:r>
                  <m:rPr/>
                  <w:rPr>
                    <w:rFonts w:ascii="Cambria Math" w:hAnsi="Cambria Math"/>
                  </w:rPr>
                  <m:t>WK</m:t>
                </m:r>
                <m:ctrlPr>
                  <w:rPr>
                    <w:rFonts w:ascii="Cambria Math" w:hAnsi="Cambria Math"/>
                    <w:i/>
                    <w:iCs/>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wmin</m:t>
                </m:r>
                <m:ctrlPr>
                  <w:rPr>
                    <w:rFonts w:ascii="Cambria Math" w:hAnsi="Cambria Math"/>
                  </w:rPr>
                </m:ctrlPr>
              </m:sub>
            </m:sSub>
            <m:ctrlPr>
              <w:rPr>
                <w:rFonts w:ascii="Cambria Math" w:hAnsi="Cambria Math"/>
              </w:rPr>
            </m:ctrlPr>
          </m:num>
          <m:den>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n</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wmin</m:t>
                </m:r>
                <m:ctrlPr>
                  <w:rPr>
                    <w:rFonts w:ascii="Cambria Math" w:hAnsi="Cambria Math"/>
                  </w:rPr>
                </m:ctrlPr>
              </m:sub>
            </m:sSub>
            <m:ctrlPr>
              <w:rPr>
                <w:rFonts w:ascii="Cambria Math" w:hAnsi="Cambria Math"/>
              </w:rPr>
            </m:ctrlPr>
          </m:den>
        </m:f>
      </m:oMath>
      <w:r>
        <w:rPr>
          <w:rFonts w:hint="eastAsia"/>
        </w:rPr>
        <w:t xml:space="preserve"> </w:t>
      </w:r>
      <w:r>
        <w:t xml:space="preserve">                   </w:t>
      </w:r>
      <w:r>
        <w:rPr>
          <w:rFonts w:hint="eastAsia"/>
        </w:rPr>
        <w:t>（3）</w:t>
      </w:r>
    </w:p>
    <w:p>
      <w:pPr>
        <w:pStyle w:val="78"/>
        <w:ind w:firstLine="480"/>
      </w:pPr>
      <w:r>
        <w:rPr>
          <w:rFonts w:hint="eastAsia"/>
        </w:rPr>
        <w:t>式中：</w:t>
      </w:r>
    </w:p>
    <w:p>
      <w:pPr>
        <w:pStyle w:val="92"/>
        <w:ind w:left="960" w:firstLine="480"/>
      </w:pPr>
      <m:oMath>
        <m:sSub>
          <m:sSubPr>
            <m:ctrlPr>
              <w:rPr>
                <w:i/>
              </w:rPr>
            </m:ctrlPr>
          </m:sSubPr>
          <m:e>
            <m:r>
              <m:rPr/>
              <m:t>R</m:t>
            </m:r>
            <m:ctrlPr>
              <w:rPr>
                <w:i/>
              </w:rPr>
            </m:ctrlPr>
          </m:e>
          <m:sub>
            <m:r>
              <m:rPr/>
              <m:t>TB</m:t>
            </m:r>
            <m:ctrlPr>
              <w:rPr>
                <w:i/>
              </w:rPr>
            </m:ctrlPr>
          </m:sub>
        </m:sSub>
      </m:oMath>
      <w:r>
        <w:rPr>
          <w:rFonts w:hint="eastAsia"/>
        </w:rPr>
        <w:t>为热泵调峰占比；单位%；</w:t>
      </w:r>
    </w:p>
    <w:p>
      <w:pPr>
        <w:pStyle w:val="92"/>
        <w:ind w:left="960" w:firstLine="480"/>
      </w:pPr>
      <m:oMath>
        <m:sSub>
          <m:sSubPr>
            <m:ctrlPr>
              <w:rPr>
                <w:i/>
                <w:iCs/>
              </w:rPr>
            </m:ctrlPr>
          </m:sSubPr>
          <m:e>
            <m:r>
              <m:rPr/>
              <m:t>T</m:t>
            </m:r>
            <m:ctrlPr>
              <w:rPr>
                <w:i/>
                <w:iCs/>
              </w:rPr>
            </m:ctrlPr>
          </m:e>
          <m:sub>
            <m:r>
              <m:rPr/>
              <m:t>WK</m:t>
            </m:r>
            <m:ctrlPr>
              <w:rPr>
                <w:i/>
                <w:iCs/>
              </w:rPr>
            </m:ctrlPr>
          </m:sub>
        </m:sSub>
      </m:oMath>
      <w:r>
        <w:rPr>
          <w:rFonts w:hint="eastAsia"/>
          <w:iCs/>
        </w:rPr>
        <w:t>为</w:t>
      </w:r>
      <w:r>
        <w:rPr>
          <w:rFonts w:hint="eastAsia"/>
        </w:rPr>
        <w:t>调峰热泵启停控制室外温度，单位</w:t>
      </w:r>
      <m:oMath>
        <m:r>
          <m:rPr/>
          <w:rPr>
            <w:rFonts w:hint="eastAsia"/>
          </w:rPr>
          <m:t>℃</m:t>
        </m:r>
      </m:oMath>
      <w:r>
        <w:rPr>
          <w:rFonts w:hint="eastAsia"/>
        </w:rPr>
        <w:t>；</w:t>
      </w:r>
    </w:p>
    <w:p>
      <w:pPr>
        <w:pStyle w:val="92"/>
        <w:ind w:left="960" w:firstLine="480"/>
      </w:pPr>
      <m:oMath>
        <m:sSub>
          <m:sSubPr/>
          <m:e>
            <m:r>
              <m:rPr>
                <m:sty m:val="p"/>
              </m:rPr>
              <m:t>t</m:t>
            </m:r>
          </m:e>
          <m:sub>
            <m:r>
              <m:rPr>
                <m:sty m:val="p"/>
              </m:rPr>
              <m:t>n</m:t>
            </m:r>
          </m:sub>
        </m:sSub>
      </m:oMath>
      <w:r>
        <w:rPr>
          <w:rFonts w:hint="eastAsia"/>
        </w:rPr>
        <w:t>为供热季采暖保持室内温度，单位</w:t>
      </w:r>
      <m:oMath>
        <m:r>
          <m:rPr/>
          <w:rPr>
            <w:rFonts w:hint="eastAsia"/>
          </w:rPr>
          <m:t>℃</m:t>
        </m:r>
      </m:oMath>
      <w:r>
        <w:rPr>
          <w:rFonts w:hint="eastAsia"/>
        </w:rPr>
        <w:t>；</w:t>
      </w:r>
    </w:p>
    <w:p>
      <w:pPr>
        <w:pStyle w:val="92"/>
        <w:ind w:left="960" w:firstLine="480"/>
      </w:pPr>
      <m:oMath>
        <m:sSub>
          <m:sSubPr>
            <m:ctrlPr>
              <w:rPr>
                <w:i/>
              </w:rPr>
            </m:ctrlPr>
          </m:sSubPr>
          <m:e>
            <m:r>
              <m:rPr/>
              <w:rPr>
                <w:rFonts w:hint="eastAsia"/>
              </w:rPr>
              <m:t>t</m:t>
            </m:r>
            <m:ctrlPr>
              <w:rPr>
                <w:i/>
              </w:rPr>
            </m:ctrlPr>
          </m:e>
          <m:sub>
            <m:r>
              <m:rPr/>
              <w:rPr>
                <w:rFonts w:hint="eastAsia"/>
              </w:rPr>
              <m:t>wmin</m:t>
            </m:r>
            <m:ctrlPr>
              <w:rPr>
                <w:i/>
              </w:rPr>
            </m:ctrlPr>
          </m:sub>
        </m:sSub>
      </m:oMath>
      <w:r>
        <w:rPr>
          <w:rFonts w:hint="eastAsia"/>
        </w:rPr>
        <w:t>为供热季最低室外温度，单位</w:t>
      </w:r>
      <m:oMath>
        <m:r>
          <m:rPr/>
          <w:rPr>
            <w:rFonts w:hint="eastAsia"/>
          </w:rPr>
          <m:t>℃</m:t>
        </m:r>
      </m:oMath>
      <w:r>
        <w:rPr>
          <w:rFonts w:hint="eastAsia"/>
        </w:rPr>
        <w:t>。</w:t>
      </w:r>
    </w:p>
    <w:p>
      <w:pPr>
        <w:pStyle w:val="74"/>
        <w:numPr>
          <w:ilvl w:val="1"/>
          <w:numId w:val="17"/>
        </w:numPr>
        <w:spacing w:beforeLines="0" w:afterLines="0"/>
      </w:pPr>
      <w:r>
        <w:rPr>
          <w:rFonts w:hint="eastAsia"/>
        </w:rPr>
        <w:t>热泵调峰热能</w:t>
      </w:r>
    </w:p>
    <w:p>
      <w:pPr>
        <w:ind w:firstLine="480"/>
      </w:pPr>
      <w:r>
        <w:rPr>
          <w:rFonts w:hint="eastAsia"/>
        </w:rPr>
        <w:t>热泵调峰热能应按照逐时的热泵调峰热能计算，见公式4。</w:t>
      </w:r>
    </w:p>
    <w:p>
      <w:pPr>
        <w:ind w:firstLine="480"/>
        <w:jc w:val="right"/>
      </w:pPr>
      <m:oMath>
        <m:sSub>
          <m:sSubPr>
            <m:ctrlPr>
              <w:rPr>
                <w:rFonts w:ascii="Cambria Math" w:hAnsi="Cambria Math" w:cstheme="minorBidi"/>
                <w:szCs w:val="22"/>
              </w:rPr>
            </m:ctrlPr>
          </m:sSubPr>
          <m:e>
            <m:r>
              <m:rPr>
                <m:sty m:val="p"/>
              </m:rPr>
              <w:rPr>
                <w:rFonts w:ascii="Cambria Math" w:hAnsi="Cambria Math"/>
              </w:rPr>
              <m:t>Ｑ</m:t>
            </m:r>
            <m:ctrlPr>
              <w:rPr>
                <w:rFonts w:ascii="Cambria Math" w:hAnsi="Cambria Math" w:cstheme="minorBidi"/>
                <w:szCs w:val="22"/>
              </w:rPr>
            </m:ctrlPr>
          </m:e>
          <m:sub>
            <m:r>
              <m:rPr/>
              <w:rPr>
                <w:rFonts w:ascii="Cambria Math" w:hAnsi="Cambria Math"/>
              </w:rPr>
              <m:t>TF</m:t>
            </m:r>
            <m:ctrlPr>
              <w:rPr>
                <w:rFonts w:ascii="Cambria Math" w:hAnsi="Cambria Math" w:cstheme="minorBidi"/>
                <w:szCs w:val="22"/>
              </w:rPr>
            </m:ctrlPr>
          </m:sub>
        </m:sSub>
        <m:r>
          <m:rPr/>
          <w:rPr>
            <w:rFonts w:ascii="Cambria Math" w:hAnsi="Cambria Math" w:cstheme="minorBidi"/>
            <w:szCs w:val="22"/>
          </w:rPr>
          <m:t>=</m:t>
        </m:r>
        <m:nary>
          <m:naryPr>
            <m:chr m:val="∑"/>
            <m:limLoc m:val="undOvr"/>
            <m:ctrlPr>
              <w:rPr>
                <w:rFonts w:ascii="Cambria Math" w:hAnsi="Cambria Math"/>
              </w:rPr>
            </m:ctrlPr>
          </m:naryPr>
          <m:sub>
            <m:r>
              <m:rPr/>
              <w:rPr>
                <w:rFonts w:hint="eastAsia" w:ascii="Cambria Math" w:hAnsi="Cambria Math"/>
              </w:rPr>
              <m:t>i</m:t>
            </m:r>
            <m:r>
              <m:rPr>
                <m:sty m:val="p"/>
              </m:rPr>
              <w:rPr>
                <w:rFonts w:ascii="Cambria Math" w:hAnsi="Cambria Math"/>
              </w:rPr>
              <m:t>=1</m:t>
            </m:r>
            <m:ctrlPr>
              <w:rPr>
                <w:rFonts w:ascii="Cambria Math" w:hAnsi="Cambria Math"/>
              </w:rPr>
            </m:ctrlPr>
          </m:sub>
          <m:sup>
            <m:r>
              <m:rPr/>
              <w:rPr>
                <w:rFonts w:hint="eastAsia" w:ascii="Cambria Math" w:hAnsi="Cambria Math"/>
              </w:rPr>
              <m:t>n</m:t>
            </m:r>
            <m:ctrlPr>
              <w:rPr>
                <w:rFonts w:ascii="Cambria Math" w:hAnsi="Cambria Math"/>
              </w:rPr>
            </m:ctrlPr>
          </m:sup>
          <m:e>
            <m:sSub>
              <m:sSubPr>
                <m:ctrlPr>
                  <w:rPr>
                    <w:rFonts w:ascii="Cambria Math" w:hAnsi="Cambria Math" w:cstheme="minorBidi"/>
                    <w:szCs w:val="22"/>
                  </w:rPr>
                </m:ctrlPr>
              </m:sSubPr>
              <m:e>
                <m:r>
                  <m:rPr>
                    <m:sty m:val="p"/>
                  </m:rPr>
                  <w:rPr>
                    <w:rFonts w:ascii="Cambria Math" w:hAnsi="Cambria Math"/>
                  </w:rPr>
                  <m:t>Ｑ</m:t>
                </m:r>
                <m:ctrlPr>
                  <w:rPr>
                    <w:rFonts w:ascii="Cambria Math" w:hAnsi="Cambria Math" w:cstheme="minorBidi"/>
                    <w:szCs w:val="22"/>
                  </w:rPr>
                </m:ctrlPr>
              </m:e>
              <m:sub>
                <m:r>
                  <m:rPr/>
                  <w:rPr>
                    <w:rFonts w:ascii="Cambria Math" w:hAnsi="Cambria Math"/>
                  </w:rPr>
                  <m:t>T</m:t>
                </m:r>
                <m:ctrlPr>
                  <w:rPr>
                    <w:rFonts w:ascii="Cambria Math" w:hAnsi="Cambria Math" w:cstheme="minorBidi"/>
                    <w:szCs w:val="22"/>
                  </w:rPr>
                </m:ctrlPr>
              </m:sub>
            </m:sSub>
            <m:ctrlPr>
              <w:rPr>
                <w:rFonts w:ascii="Cambria Math" w:hAnsi="Cambria Math"/>
              </w:rPr>
            </m:ctrlPr>
          </m:e>
        </m:nary>
        <m:r>
          <m:rPr/>
          <w:rPr>
            <w:rFonts w:ascii="Cambria Math" w:hAnsi="Cambria Math"/>
          </w:rPr>
          <m:t>×</m:t>
        </m:r>
        <m:f>
          <m:fPr>
            <m:ctrlPr>
              <w:rPr>
                <w:rFonts w:ascii="Cambria Math" w:hAnsi="Cambria Math"/>
                <w:i/>
              </w:rPr>
            </m:ctrlPr>
          </m:fPr>
          <m:num>
            <m:sSub>
              <m:sSubPr>
                <m:ctrlPr>
                  <w:rPr>
                    <w:rFonts w:ascii="Cambria Math" w:hAnsi="Cambria Math"/>
                    <w:i/>
                    <w:iCs/>
                  </w:rPr>
                </m:ctrlPr>
              </m:sSubPr>
              <m:e>
                <m:r>
                  <m:rPr/>
                  <w:rPr>
                    <w:rFonts w:ascii="Cambria Math" w:hAnsi="Cambria Math"/>
                  </w:rPr>
                  <m:t>T</m:t>
                </m:r>
                <m:ctrlPr>
                  <w:rPr>
                    <w:rFonts w:ascii="Cambria Math" w:hAnsi="Cambria Math"/>
                    <w:i/>
                    <w:iCs/>
                  </w:rPr>
                </m:ctrlPr>
              </m:e>
              <m:sub>
                <m:r>
                  <m:rPr/>
                  <w:rPr>
                    <w:rFonts w:ascii="Cambria Math" w:hAnsi="Cambria Math"/>
                  </w:rPr>
                  <m:t>WK</m:t>
                </m:r>
                <m:ctrlPr>
                  <w:rPr>
                    <w:rFonts w:ascii="Cambria Math" w:hAnsi="Cambria Math"/>
                    <w:i/>
                    <w:iCs/>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wi</m:t>
                </m:r>
                <m:ctrlPr>
                  <w:rPr>
                    <w:rFonts w:ascii="Cambria Math" w:hAnsi="Cambria Math"/>
                  </w:rPr>
                </m:ctrlPr>
              </m:sub>
            </m:sSub>
            <m:ctrlPr>
              <w:rPr>
                <w:rFonts w:ascii="Cambria Math" w:hAnsi="Cambria Math"/>
                <w:i/>
              </w:rPr>
            </m:ctrlPr>
          </m:num>
          <m:den>
            <m:sSub>
              <m:sSubPr>
                <m:ctrlPr>
                  <w:rPr>
                    <w:rFonts w:ascii="Cambria Math" w:hAnsi="Cambria Math"/>
                  </w:rPr>
                </m:ctrlPr>
              </m:sSubPr>
              <m:e>
                <m:r>
                  <m:rPr>
                    <m:sty m:val="p"/>
                  </m:rPr>
                  <w:rPr>
                    <w:rFonts w:ascii="Cambria Math" w:hAnsi="Cambria Math"/>
                  </w:rPr>
                  <m:t>t</m:t>
                </m:r>
                <m:ctrlPr>
                  <w:rPr>
                    <w:rFonts w:ascii="Cambria Math" w:hAnsi="Cambria Math"/>
                  </w:rPr>
                </m:ctrlPr>
              </m:e>
              <m:sub>
                <m:r>
                  <m:rPr>
                    <m:sty m:val="p"/>
                  </m:rPr>
                  <w:rPr>
                    <w:rFonts w:ascii="Cambria Math" w:hAnsi="Cambria Math"/>
                  </w:rPr>
                  <m:t>n</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wj</m:t>
                </m:r>
                <m:ctrlPr>
                  <w:rPr>
                    <w:rFonts w:ascii="Cambria Math" w:hAnsi="Cambria Math"/>
                  </w:rPr>
                </m:ctrlPr>
              </m:sub>
            </m:sSub>
            <m:ctrlPr>
              <w:rPr>
                <w:rFonts w:ascii="Cambria Math" w:hAnsi="Cambria Math"/>
                <w:i/>
              </w:rPr>
            </m:ctrlPr>
          </m:den>
        </m:f>
      </m:oMath>
      <w:r>
        <w:rPr>
          <w:rFonts w:hint="eastAsia"/>
        </w:rPr>
        <w:t xml:space="preserve"> </w:t>
      </w:r>
      <w:r>
        <w:t xml:space="preserve">                </w:t>
      </w:r>
      <w:r>
        <w:rPr>
          <w:rFonts w:hint="eastAsia"/>
        </w:rPr>
        <w:t>（</w:t>
      </w:r>
      <w:r>
        <w:t>4</w:t>
      </w:r>
      <w:r>
        <w:rPr>
          <w:rFonts w:hint="eastAsia"/>
        </w:rPr>
        <w:t>）</w:t>
      </w:r>
    </w:p>
    <w:p>
      <w:pPr>
        <w:ind w:firstLine="480"/>
      </w:pPr>
      <w:r>
        <w:rPr>
          <w:rFonts w:hint="eastAsia"/>
        </w:rPr>
        <w:t>式中：</w:t>
      </w:r>
    </w:p>
    <w:p>
      <w:pPr>
        <w:pStyle w:val="92"/>
        <w:ind w:left="960" w:firstLine="480"/>
      </w:pPr>
      <m:oMath>
        <m:sSub>
          <m:sSubPr>
            <m:ctrlPr>
              <w:rPr>
                <w:rFonts w:cstheme="minorBidi"/>
                <w:szCs w:val="22"/>
              </w:rPr>
            </m:ctrlPr>
          </m:sSubPr>
          <m:e>
            <m:r>
              <m:rPr>
                <m:sty m:val="p"/>
              </m:rPr>
              <m:t>Ｑ</m:t>
            </m:r>
            <m:ctrlPr>
              <w:rPr>
                <w:rFonts w:cstheme="minorBidi"/>
                <w:szCs w:val="22"/>
              </w:rPr>
            </m:ctrlPr>
          </m:e>
          <m:sub>
            <m:r>
              <m:rPr/>
              <m:t>TF</m:t>
            </m:r>
            <m:ctrlPr>
              <w:rPr>
                <w:rFonts w:cstheme="minorBidi"/>
                <w:szCs w:val="22"/>
              </w:rPr>
            </m:ctrlPr>
          </m:sub>
        </m:sSub>
      </m:oMath>
      <w:r>
        <w:rPr>
          <w:rFonts w:hint="eastAsia"/>
          <w:szCs w:val="22"/>
        </w:rPr>
        <w:t>为供热季</w:t>
      </w:r>
      <w:r>
        <w:rPr>
          <w:rFonts w:hint="eastAsia"/>
        </w:rPr>
        <w:t>累计热泵调峰热能，单位</w:t>
      </w:r>
      <m:oMath>
        <m:r>
          <m:rPr/>
          <m:t>kW</m:t>
        </m:r>
        <m:r>
          <m:rPr>
            <m:sty m:val="p"/>
          </m:rPr>
          <m:t>∙</m:t>
        </m:r>
        <m:r>
          <m:rPr/>
          <m:t>ℎ</m:t>
        </m:r>
      </m:oMath>
      <w:r>
        <w:rPr>
          <w:rFonts w:hint="eastAsia"/>
        </w:rPr>
        <w:t>；</w:t>
      </w:r>
    </w:p>
    <w:p>
      <w:pPr>
        <w:pStyle w:val="92"/>
        <w:ind w:left="960" w:firstLine="480"/>
      </w:pPr>
      <m:oMath>
        <m:sSub>
          <m:sSubPr>
            <m:ctrlPr>
              <w:rPr>
                <w:rFonts w:cstheme="minorBidi"/>
                <w:i/>
              </w:rPr>
            </m:ctrlPr>
          </m:sSubPr>
          <m:e>
            <m:r>
              <m:rPr/>
              <m:t>Ｑ</m:t>
            </m:r>
            <m:ctrlPr>
              <w:rPr>
                <w:rFonts w:cstheme="minorBidi"/>
                <w:i/>
              </w:rPr>
            </m:ctrlPr>
          </m:e>
          <m:sub>
            <m:r>
              <m:rPr/>
              <m:t>T</m:t>
            </m:r>
            <m:ctrlPr>
              <w:rPr>
                <w:rFonts w:cstheme="minorBidi"/>
                <w:i/>
              </w:rPr>
            </m:ctrlPr>
          </m:sub>
        </m:sSub>
      </m:oMath>
      <w:r>
        <w:rPr>
          <w:rFonts w:hint="eastAsia"/>
        </w:rPr>
        <w:t>为项目供热建筑采暖热负荷，单位</w:t>
      </w:r>
      <m:oMath>
        <m:r>
          <m:rPr/>
          <w:rPr>
            <w:rFonts w:hint="eastAsia"/>
          </w:rPr>
          <m:t>kW</m:t>
        </m:r>
      </m:oMath>
      <w:r>
        <w:rPr>
          <w:rFonts w:hint="eastAsia"/>
        </w:rPr>
        <w:t>；</w:t>
      </w:r>
    </w:p>
    <w:p>
      <w:pPr>
        <w:pStyle w:val="92"/>
        <w:ind w:left="960" w:firstLine="480"/>
      </w:pPr>
      <m:oMath>
        <m:sSub>
          <m:sSubPr>
            <m:ctrlPr>
              <w:rPr>
                <w:i/>
                <w:iCs/>
              </w:rPr>
            </m:ctrlPr>
          </m:sSubPr>
          <m:e>
            <m:r>
              <m:rPr/>
              <m:t>T</m:t>
            </m:r>
            <m:ctrlPr>
              <w:rPr>
                <w:i/>
                <w:iCs/>
              </w:rPr>
            </m:ctrlPr>
          </m:e>
          <m:sub>
            <m:r>
              <m:rPr/>
              <m:t>WK</m:t>
            </m:r>
            <m:ctrlPr>
              <w:rPr>
                <w:i/>
                <w:iCs/>
              </w:rPr>
            </m:ctrlPr>
          </m:sub>
        </m:sSub>
      </m:oMath>
      <w:r>
        <w:rPr>
          <w:rFonts w:hint="eastAsia"/>
          <w:iCs/>
        </w:rPr>
        <w:t>为</w:t>
      </w:r>
      <w:r>
        <w:rPr>
          <w:rFonts w:hint="eastAsia"/>
        </w:rPr>
        <w:t>调峰热泵启停控制温度，单位</w:t>
      </w:r>
      <m:oMath>
        <m:r>
          <m:rPr/>
          <w:rPr>
            <w:rFonts w:hint="eastAsia"/>
          </w:rPr>
          <m:t>℃</m:t>
        </m:r>
      </m:oMath>
      <w:r>
        <w:rPr>
          <w:rFonts w:hint="eastAsia"/>
        </w:rPr>
        <w:t>；</w:t>
      </w:r>
    </w:p>
    <w:p>
      <w:pPr>
        <w:pStyle w:val="92"/>
        <w:ind w:left="960" w:firstLine="480"/>
      </w:pPr>
      <m:oMath>
        <m:sSub>
          <m:sSubPr/>
          <m:e>
            <m:r>
              <m:rPr>
                <m:sty m:val="p"/>
              </m:rPr>
              <m:t>t</m:t>
            </m:r>
          </m:e>
          <m:sub>
            <m:r>
              <m:rPr>
                <m:sty m:val="p"/>
              </m:rPr>
              <m:t>n</m:t>
            </m:r>
          </m:sub>
        </m:sSub>
      </m:oMath>
      <w:r>
        <w:rPr>
          <w:rFonts w:hint="eastAsia"/>
        </w:rPr>
        <w:t>为供热季采暖保持室内温度，单位</w:t>
      </w:r>
      <m:oMath>
        <m:r>
          <m:rPr/>
          <w:rPr>
            <w:rFonts w:hint="eastAsia"/>
          </w:rPr>
          <m:t>℃</m:t>
        </m:r>
      </m:oMath>
      <w:r>
        <w:rPr>
          <w:rFonts w:hint="eastAsia"/>
        </w:rPr>
        <w:t>；</w:t>
      </w:r>
    </w:p>
    <w:p>
      <w:pPr>
        <w:pStyle w:val="92"/>
        <w:ind w:left="960" w:firstLine="480"/>
      </w:pPr>
      <m:oMath>
        <m:sSub>
          <m:sSubPr>
            <m:ctrlPr>
              <w:rPr>
                <w:i/>
              </w:rPr>
            </m:ctrlPr>
          </m:sSubPr>
          <m:e>
            <m:r>
              <m:rPr/>
              <w:rPr>
                <w:rFonts w:hint="eastAsia"/>
              </w:rPr>
              <m:t>t</m:t>
            </m:r>
            <m:ctrlPr>
              <w:rPr>
                <w:i/>
              </w:rPr>
            </m:ctrlPr>
          </m:e>
          <m:sub>
            <m:r>
              <m:rPr/>
              <w:rPr>
                <w:rFonts w:hint="eastAsia"/>
              </w:rPr>
              <m:t>wj</m:t>
            </m:r>
            <m:ctrlPr>
              <w:rPr>
                <w:i/>
              </w:rPr>
            </m:ctrlPr>
          </m:sub>
        </m:sSub>
      </m:oMath>
      <w:r>
        <w:rPr>
          <w:rFonts w:hint="eastAsia"/>
        </w:rPr>
        <w:t>为供热建筑热耗能指标计算室外温度，单位</w:t>
      </w:r>
      <m:oMath>
        <m:r>
          <m:rPr/>
          <w:rPr>
            <w:rFonts w:hint="eastAsia"/>
          </w:rPr>
          <m:t>℃</m:t>
        </m:r>
      </m:oMath>
      <w:r>
        <w:rPr>
          <w:rFonts w:hint="eastAsia"/>
        </w:rPr>
        <w:t>；</w:t>
      </w:r>
    </w:p>
    <w:p>
      <w:pPr>
        <w:pStyle w:val="92"/>
        <w:ind w:left="960" w:firstLine="480"/>
      </w:pPr>
      <m:oMath>
        <m:sSub>
          <m:sSubPr/>
          <m:e>
            <m:r>
              <m:rPr/>
              <w:rPr>
                <w:rFonts w:hint="eastAsia"/>
              </w:rPr>
              <m:t>t</m:t>
            </m:r>
          </m:e>
          <m:sub>
            <m:r>
              <m:rPr/>
              <w:rPr>
                <w:rFonts w:hint="eastAsia"/>
              </w:rPr>
              <m:t>wi</m:t>
            </m:r>
          </m:sub>
        </m:sSub>
      </m:oMath>
      <w:r>
        <w:rPr>
          <w:rFonts w:hint="eastAsia"/>
        </w:rPr>
        <w:t>为热泵调峰期间逐时室外温度，单位</w:t>
      </w:r>
      <m:oMath>
        <m:r>
          <m:rPr/>
          <w:rPr>
            <w:rFonts w:hint="eastAsia"/>
          </w:rPr>
          <m:t>℃</m:t>
        </m:r>
      </m:oMath>
      <w:r>
        <w:rPr>
          <w:rFonts w:hint="eastAsia"/>
        </w:rPr>
        <w:t>。</w:t>
      </w:r>
    </w:p>
    <w:p>
      <w:pPr>
        <w:pStyle w:val="74"/>
        <w:numPr>
          <w:ilvl w:val="1"/>
          <w:numId w:val="17"/>
        </w:numPr>
        <w:spacing w:beforeLines="0" w:afterLines="0"/>
      </w:pPr>
      <w:r>
        <w:rPr>
          <w:rFonts w:hint="eastAsia"/>
        </w:rPr>
        <w:t>地热水最大产量</w:t>
      </w:r>
    </w:p>
    <w:p>
      <w:pPr>
        <w:ind w:firstLine="480"/>
      </w:pPr>
      <w:r>
        <w:rPr>
          <w:rFonts w:hint="eastAsia"/>
        </w:rPr>
        <w:t>地热水最大产量按照供热建筑热负荷、热泵调峰占比、地热水温度、地热尾水温度进行计算。见公式</w:t>
      </w:r>
      <w:r>
        <w:t>5</w:t>
      </w:r>
      <w:r>
        <w:rPr>
          <w:rFonts w:hint="eastAsia"/>
        </w:rPr>
        <w:t>。</w:t>
      </w:r>
    </w:p>
    <w:p>
      <w:pPr>
        <w:wordWrap w:val="0"/>
        <w:ind w:firstLine="480"/>
        <w:jc w:val="right"/>
      </w:pPr>
      <m:oMath>
        <m:sSub>
          <m:sSubPr>
            <m:ctrlPr>
              <w:rPr>
                <w:rFonts w:ascii="Cambria Math" w:hAnsi="Cambria Math"/>
              </w:rPr>
            </m:ctrlPr>
          </m:sSubPr>
          <m:e>
            <m:r>
              <m:rPr/>
              <w:rPr>
                <w:rFonts w:ascii="Cambria Math" w:hAnsi="Cambria Math"/>
              </w:rPr>
              <m:t>G</m:t>
            </m:r>
            <m:ctrlPr>
              <w:rPr>
                <w:rFonts w:ascii="Cambria Math" w:hAnsi="Cambria Math"/>
              </w:rPr>
            </m:ctrlPr>
          </m:e>
          <m:sub>
            <m:r>
              <m:rPr/>
              <w:rPr>
                <w:rFonts w:ascii="Cambria Math" w:hAnsi="Cambria Math"/>
              </w:rPr>
              <m:t>CK</m:t>
            </m:r>
            <m:r>
              <m:rPr/>
              <w:rPr>
                <w:rFonts w:hint="eastAsia" w:ascii="Cambria Math" w:hAnsi="Cambria Math"/>
              </w:rPr>
              <m:t>max</m:t>
            </m:r>
            <m:ctrlPr>
              <w:rPr>
                <w:rFonts w:ascii="Cambria Math" w:hAnsi="Cambria Math"/>
              </w:rPr>
            </m:ctrlPr>
          </m:sub>
        </m:sSub>
        <m:r>
          <m:rPr>
            <m:sty m:val="p"/>
          </m:rPr>
          <w:rPr>
            <w:rFonts w:ascii="Cambria Math" w:hAnsi="Cambria Math"/>
          </w:rPr>
          <m:t>=3.6×</m:t>
        </m:r>
        <m:f>
          <m:fPr>
            <m:ctrlPr>
              <w:rPr>
                <w:rFonts w:ascii="Cambria Math" w:hAnsi="Cambria Math"/>
              </w:rPr>
            </m:ctrlPr>
          </m:fPr>
          <m:num>
            <m:sSub>
              <m:sSubPr>
                <m:ctrlPr>
                  <w:rPr>
                    <w:rFonts w:ascii="Cambria Math" w:hAnsi="Cambria Math"/>
                  </w:rPr>
                </m:ctrlPr>
              </m:sSubPr>
              <m:e>
                <m:r>
                  <m:rPr>
                    <m:sty m:val="p"/>
                  </m:rPr>
                  <w:rPr>
                    <w:rFonts w:ascii="Cambria Math" w:hAnsi="Cambria Math"/>
                  </w:rPr>
                  <m:t>Ｑ</m:t>
                </m:r>
                <m:ctrlPr>
                  <w:rPr>
                    <w:rFonts w:ascii="Cambria Math" w:hAnsi="Cambria Math"/>
                  </w:rPr>
                </m:ctrlPr>
              </m:e>
              <m:sub>
                <m:r>
                  <m:rPr/>
                  <w:rPr>
                    <w:rFonts w:ascii="Cambria Math" w:hAnsi="Cambria Math"/>
                  </w:rPr>
                  <m:t>T</m:t>
                </m:r>
                <m:ctrlPr>
                  <w:rPr>
                    <w:rFonts w:ascii="Cambria Math" w:hAnsi="Cambria Math"/>
                  </w:rPr>
                </m:ctrlPr>
              </m:sub>
            </m:sSub>
            <m:ctrlPr>
              <w:rPr>
                <w:rFonts w:ascii="Cambria Math" w:hAnsi="Cambria Math"/>
              </w:rPr>
            </m:ctrlPr>
          </m:num>
          <m:den>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w</m:t>
                </m:r>
                <m:ctrlPr>
                  <w:rPr>
                    <w:rFonts w:ascii="Cambria Math" w:hAnsi="Cambria Math"/>
                  </w:rPr>
                </m:ctrlPr>
              </m:sub>
            </m:sSub>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D</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TF</m:t>
                    </m:r>
                    <m:r>
                      <m:rPr/>
                      <w:rPr>
                        <w:rFonts w:hint="eastAsia" w:ascii="Cambria Math" w:hAnsi="Cambria Math"/>
                      </w:rPr>
                      <m:t>min</m:t>
                    </m:r>
                    <m:ctrlPr>
                      <w:rPr>
                        <w:rFonts w:ascii="Cambria Math" w:hAnsi="Cambria Math"/>
                      </w:rPr>
                    </m:ctrlPr>
                  </m:sub>
                </m:sSub>
                <m:ctrlPr>
                  <w:rPr>
                    <w:rFonts w:ascii="Cambria Math" w:hAnsi="Cambria Math"/>
                  </w:rPr>
                </m:ctrlPr>
              </m:e>
            </m:d>
            <m:r>
              <m:rPr>
                <m:sty m:val="p"/>
              </m:rPr>
              <w:rPr>
                <w:rFonts w:ascii="Cambria Math" w:hAnsi="Cambria Math"/>
              </w:rPr>
              <m:t>)</m:t>
            </m:r>
            <m:ctrlPr>
              <w:rPr>
                <w:rFonts w:ascii="Cambria Math" w:hAnsi="Cambria Math"/>
              </w:rPr>
            </m:ctrlPr>
          </m:den>
        </m:f>
        <m:r>
          <m:rPr/>
          <w:rPr>
            <w:rFonts w:ascii="Cambria Math" w:hAnsi="Cambria Math"/>
          </w:rPr>
          <m:t>×</m:t>
        </m:r>
        <m:f>
          <m:fPr>
            <m:ctrlPr>
              <w:rPr>
                <w:rFonts w:ascii="Cambria Math" w:hAnsi="Cambria Math"/>
              </w:rPr>
            </m:ctrlPr>
          </m:fPr>
          <m:num>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n</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wmin</m:t>
                </m:r>
                <m:ctrlPr>
                  <w:rPr>
                    <w:rFonts w:ascii="Cambria Math" w:hAnsi="Cambria Math"/>
                  </w:rPr>
                </m:ctrlPr>
              </m:sub>
            </m:sSub>
            <m:ctrlPr>
              <w:rPr>
                <w:rFonts w:ascii="Cambria Math" w:hAnsi="Cambria Math"/>
              </w:rPr>
            </m:ctrlPr>
          </m:num>
          <m:den>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n</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hint="eastAsia" w:ascii="Cambria Math" w:hAnsi="Cambria Math"/>
                  </w:rPr>
                  <m:t>t</m:t>
                </m:r>
                <m:ctrlPr>
                  <w:rPr>
                    <w:rFonts w:ascii="Cambria Math" w:hAnsi="Cambria Math"/>
                  </w:rPr>
                </m:ctrlPr>
              </m:e>
              <m:sub>
                <m:r>
                  <m:rPr/>
                  <w:rPr>
                    <w:rFonts w:hint="eastAsia" w:ascii="Cambria Math" w:hAnsi="Cambria Math"/>
                  </w:rPr>
                  <m:t>wj</m:t>
                </m:r>
                <m:ctrlPr>
                  <w:rPr>
                    <w:rFonts w:ascii="Cambria Math" w:hAnsi="Cambria Math"/>
                  </w:rPr>
                </m:ctrlPr>
              </m:sub>
            </m:sSub>
            <m:ctrlPr>
              <w:rPr>
                <w:rFonts w:ascii="Cambria Math" w:hAnsi="Cambria Math"/>
              </w:rPr>
            </m:ctrlPr>
          </m:den>
        </m:f>
        <m:r>
          <m:rPr/>
          <w:rPr>
            <w:rFonts w:ascii="Cambria Math" w:hAnsi="Cambria Math"/>
          </w:rPr>
          <m:t>×</m:t>
        </m:r>
        <m:d>
          <m:dPr>
            <m:ctrlPr>
              <w:rPr>
                <w:rFonts w:ascii="Cambria Math" w:hAnsi="Cambria Math"/>
                <w:i/>
              </w:rPr>
            </m:ctrlPr>
          </m:dPr>
          <m:e>
            <m:r>
              <m:rPr/>
              <w:rPr>
                <w:rFonts w:ascii="Cambria Math" w:hAnsi="Cambria Math"/>
              </w:rPr>
              <m:t>1−</m:t>
            </m:r>
            <m:sSub>
              <m:sSubPr>
                <m:ctrlPr>
                  <w:rPr>
                    <w:rFonts w:ascii="Cambria Math" w:hAnsi="Cambria Math"/>
                  </w:rPr>
                </m:ctrlPr>
              </m:sSubPr>
              <m:e>
                <m:r>
                  <m:rPr/>
                  <w:rPr>
                    <w:rFonts w:ascii="Cambria Math" w:hAnsi="Cambria Math"/>
                  </w:rPr>
                  <m:t>R</m:t>
                </m:r>
                <m:ctrlPr>
                  <w:rPr>
                    <w:rFonts w:ascii="Cambria Math" w:hAnsi="Cambria Math"/>
                  </w:rPr>
                </m:ctrlPr>
              </m:e>
              <m:sub>
                <m:r>
                  <m:rPr/>
                  <w:rPr>
                    <w:rFonts w:ascii="Cambria Math" w:hAnsi="Cambria Math"/>
                  </w:rPr>
                  <m:t>TB</m:t>
                </m:r>
                <m:ctrlPr>
                  <w:rPr>
                    <w:rFonts w:ascii="Cambria Math" w:hAnsi="Cambria Math"/>
                  </w:rPr>
                </m:ctrlPr>
              </m:sub>
            </m:sSub>
            <m:ctrlPr>
              <w:rPr>
                <w:rFonts w:ascii="Cambria Math" w:hAnsi="Cambria Math"/>
                <w:i/>
              </w:rPr>
            </m:ctrlPr>
          </m:e>
        </m:d>
      </m:oMath>
      <w:r>
        <w:rPr>
          <w:rFonts w:hint="eastAsia"/>
        </w:rPr>
        <w:t xml:space="preserve"> </w:t>
      </w:r>
      <w:r>
        <w:t xml:space="preserve">  </w:t>
      </w:r>
      <w:r>
        <w:rPr>
          <w:rFonts w:hint="eastAsia"/>
        </w:rPr>
        <w:t>（</w:t>
      </w:r>
      <w:r>
        <w:t>5</w:t>
      </w:r>
      <w:r>
        <w:rPr>
          <w:rFonts w:hint="eastAsia"/>
        </w:rPr>
        <w:t>）</w:t>
      </w:r>
    </w:p>
    <w:p>
      <w:pPr>
        <w:ind w:firstLine="480"/>
      </w:pPr>
      <w:r>
        <w:rPr>
          <w:rFonts w:hint="eastAsia"/>
        </w:rPr>
        <w:t>式中：</w:t>
      </w:r>
    </w:p>
    <w:p>
      <w:pPr>
        <w:pStyle w:val="92"/>
        <w:ind w:left="960" w:firstLine="480"/>
      </w:pPr>
      <m:oMath>
        <m:sSub>
          <m:sSubPr/>
          <m:e>
            <m:r>
              <m:rPr/>
              <m:t>G</m:t>
            </m:r>
          </m:e>
          <m:sub>
            <m:r>
              <m:rPr/>
              <m:t>CK</m:t>
            </m:r>
            <m:r>
              <m:rPr/>
              <w:rPr>
                <w:rFonts w:hint="eastAsia"/>
              </w:rPr>
              <m:t>max</m:t>
            </m:r>
          </m:sub>
        </m:sSub>
      </m:oMath>
      <w:r>
        <w:rPr>
          <w:rFonts w:hint="eastAsia"/>
        </w:rPr>
        <w:t>为地热水最大产量，单位</w:t>
      </w:r>
      <m:oMath>
        <m:sSup>
          <m:sSupPr/>
          <m:e>
            <m:r>
              <m:rPr/>
              <w:rPr>
                <w:rFonts w:hint="eastAsia"/>
              </w:rPr>
              <m:t>m</m:t>
            </m:r>
          </m:e>
          <m:sup>
            <m:r>
              <m:rPr>
                <m:sty m:val="p"/>
              </m:rPr>
              <m:t>3</m:t>
            </m:r>
          </m:sup>
        </m:sSup>
        <m:r>
          <m:rPr>
            <m:sty m:val="p"/>
          </m:rPr>
          <w:rPr>
            <w:rFonts w:hint="eastAsia"/>
          </w:rPr>
          <m:t>/</m:t>
        </m:r>
        <m:r>
          <m:rPr/>
          <w:rPr>
            <w:rFonts w:hint="eastAsia" w:eastAsia="MS Mincho" w:cs="MS Mincho"/>
          </w:rPr>
          <m:t>ℎ</m:t>
        </m:r>
      </m:oMath>
      <w:r>
        <w:rPr>
          <w:rFonts w:hint="eastAsia"/>
        </w:rPr>
        <w:t>；</w:t>
      </w:r>
    </w:p>
    <w:p>
      <w:pPr>
        <w:pStyle w:val="92"/>
        <w:ind w:left="960" w:firstLine="480"/>
      </w:pPr>
      <m:oMath>
        <m:sSub>
          <m:sSubPr>
            <m:ctrlPr>
              <w:rPr>
                <w:rFonts w:cstheme="minorBidi"/>
              </w:rPr>
            </m:ctrlPr>
          </m:sSubPr>
          <m:e>
            <m:r>
              <m:rPr>
                <m:sty m:val="p"/>
              </m:rPr>
              <m:t>Ｑ</m:t>
            </m:r>
            <m:ctrlPr>
              <w:rPr>
                <w:rFonts w:cstheme="minorBidi"/>
              </w:rPr>
            </m:ctrlPr>
          </m:e>
          <m:sub>
            <m:r>
              <m:rPr/>
              <m:t>T</m:t>
            </m:r>
            <m:ctrlPr>
              <w:rPr>
                <w:rFonts w:cstheme="minorBidi"/>
              </w:rPr>
            </m:ctrlPr>
          </m:sub>
        </m:sSub>
      </m:oMath>
      <w:r>
        <w:rPr>
          <w:rFonts w:hint="eastAsia"/>
        </w:rPr>
        <w:t>为项目供热建筑采暖热负荷，单位</w:t>
      </w:r>
      <m:oMath>
        <m:r>
          <m:rPr/>
          <w:rPr>
            <w:rFonts w:hint="eastAsia"/>
          </w:rPr>
          <m:t>kW</m:t>
        </m:r>
      </m:oMath>
      <w:r>
        <w:rPr>
          <w:rFonts w:hint="eastAsia"/>
        </w:rPr>
        <w:t>；</w:t>
      </w:r>
    </w:p>
    <w:p>
      <w:pPr>
        <w:pStyle w:val="92"/>
        <w:ind w:left="960" w:firstLine="480"/>
      </w:pPr>
      <m:oMath>
        <m:sSub>
          <m:sSubPr/>
          <m:e>
            <m:r>
              <m:rPr/>
              <m:t>C</m:t>
            </m:r>
          </m:e>
          <m:sub>
            <m:r>
              <m:rPr/>
              <m:t>w</m:t>
            </m:r>
          </m:sub>
        </m:sSub>
      </m:oMath>
      <w:r>
        <w:rPr>
          <w:rFonts w:hint="eastAsia"/>
        </w:rPr>
        <w:t>为水的比热容，单位</w:t>
      </w:r>
      <m:oMath>
        <m:r>
          <m:rPr/>
          <w:rPr>
            <w:rFonts w:hint="eastAsia"/>
          </w:rPr>
          <m:t>kJ</m:t>
        </m:r>
        <m:r>
          <m:rPr>
            <m:sty m:val="p"/>
          </m:rPr>
          <w:rPr>
            <w:rFonts w:hint="eastAsia"/>
          </w:rPr>
          <m:t>/</m:t>
        </m:r>
        <m:r>
          <m:rPr/>
          <w:rPr>
            <w:rFonts w:hint="eastAsia"/>
          </w:rPr>
          <m:t>kg</m:t>
        </m:r>
        <m:r>
          <m:rPr>
            <m:sty m:val="p"/>
          </m:rPr>
          <w:rPr>
            <w:rFonts w:hint="eastAsia"/>
          </w:rPr>
          <m:t>·℃</m:t>
        </m:r>
      </m:oMath>
      <w:r>
        <w:rPr>
          <w:rFonts w:hint="eastAsia"/>
        </w:rPr>
        <w:t>；</w:t>
      </w:r>
    </w:p>
    <w:p>
      <w:pPr>
        <w:pStyle w:val="92"/>
        <w:ind w:left="960" w:firstLine="480"/>
      </w:pPr>
      <m:oMath>
        <m:sSub>
          <m:sSubPr/>
          <m:e>
            <m:r>
              <m:rPr/>
              <m:t>T</m:t>
            </m:r>
          </m:e>
          <m:sub>
            <m:r>
              <m:rPr/>
              <m:t>D</m:t>
            </m:r>
          </m:sub>
        </m:sSub>
      </m:oMath>
      <w:r>
        <w:rPr>
          <w:rFonts w:hint="eastAsia"/>
        </w:rPr>
        <w:t>为地热水温度，单位℃；</w:t>
      </w:r>
    </w:p>
    <w:p>
      <w:pPr>
        <w:pStyle w:val="92"/>
        <w:ind w:left="960" w:firstLine="480"/>
      </w:pPr>
      <m:oMath>
        <m:sSub>
          <m:sSubPr/>
          <m:e>
            <m:r>
              <m:rPr/>
              <m:t>T</m:t>
            </m:r>
          </m:e>
          <m:sub>
            <m:r>
              <m:rPr/>
              <m:t>TF</m:t>
            </m:r>
            <m:r>
              <m:rPr/>
              <w:rPr>
                <w:rFonts w:hint="eastAsia"/>
              </w:rPr>
              <m:t>min</m:t>
            </m:r>
          </m:sub>
        </m:sSub>
      </m:oMath>
      <w:r>
        <w:rPr>
          <w:rFonts w:hint="eastAsia"/>
        </w:rPr>
        <w:t>为热泵调峰时最低的地热尾水温度，单位</w:t>
      </w:r>
      <m:oMath>
        <m:r>
          <m:rPr>
            <m:sty m:val="p"/>
          </m:rPr>
          <w:rPr>
            <w:rFonts w:hint="eastAsia"/>
          </w:rPr>
          <m:t>℃</m:t>
        </m:r>
      </m:oMath>
      <w:r>
        <w:rPr>
          <w:rFonts w:hint="eastAsia"/>
        </w:rPr>
        <w:t>；</w:t>
      </w:r>
    </w:p>
    <w:p>
      <w:pPr>
        <w:pStyle w:val="92"/>
        <w:ind w:left="960" w:firstLine="480"/>
      </w:pPr>
      <m:oMath>
        <m:sSub>
          <m:sSubPr/>
          <m:e>
            <m:r>
              <m:rPr>
                <m:sty m:val="p"/>
              </m:rPr>
              <m:t>t</m:t>
            </m:r>
          </m:e>
          <m:sub>
            <m:r>
              <m:rPr>
                <m:sty m:val="p"/>
              </m:rPr>
              <m:t>n</m:t>
            </m:r>
          </m:sub>
        </m:sSub>
      </m:oMath>
      <w:r>
        <w:rPr>
          <w:rFonts w:hint="eastAsia"/>
        </w:rPr>
        <w:t>为供热季采暖保持室内温度，单位</w:t>
      </w:r>
      <m:oMath>
        <m:r>
          <m:rPr>
            <m:sty m:val="p"/>
          </m:rPr>
          <w:rPr>
            <w:rFonts w:hint="eastAsia"/>
          </w:rPr>
          <m:t>℃</m:t>
        </m:r>
      </m:oMath>
      <w:r>
        <w:rPr>
          <w:rFonts w:hint="eastAsia"/>
        </w:rPr>
        <w:t>；</w:t>
      </w:r>
    </w:p>
    <w:p>
      <w:pPr>
        <w:pStyle w:val="92"/>
        <w:ind w:left="960" w:firstLine="480"/>
      </w:pPr>
      <m:oMath>
        <m:sSub>
          <m:sSubPr/>
          <m:e>
            <m:r>
              <m:rPr/>
              <w:rPr>
                <w:rFonts w:hint="eastAsia"/>
              </w:rPr>
              <m:t>t</m:t>
            </m:r>
          </m:e>
          <m:sub>
            <m:r>
              <m:rPr/>
              <w:rPr>
                <w:rFonts w:hint="eastAsia"/>
              </w:rPr>
              <m:t>wj</m:t>
            </m:r>
          </m:sub>
        </m:sSub>
      </m:oMath>
      <w:r>
        <w:rPr>
          <w:rFonts w:hint="eastAsia"/>
        </w:rPr>
        <w:t>为供热建筑热耗能指标计算室外温度，单位</w:t>
      </w:r>
      <m:oMath>
        <m:r>
          <m:rPr>
            <m:sty m:val="p"/>
          </m:rPr>
          <w:rPr>
            <w:rFonts w:hint="eastAsia"/>
          </w:rPr>
          <m:t>℃</m:t>
        </m:r>
      </m:oMath>
      <w:r>
        <w:rPr>
          <w:rFonts w:hint="eastAsia"/>
        </w:rPr>
        <w:t>；</w:t>
      </w:r>
    </w:p>
    <w:p>
      <w:pPr>
        <w:pStyle w:val="92"/>
        <w:ind w:left="960" w:firstLine="480"/>
      </w:pPr>
      <m:oMath>
        <m:sSub>
          <m:sSubPr/>
          <m:e>
            <m:r>
              <m:rPr/>
              <w:rPr>
                <w:rFonts w:hint="eastAsia"/>
              </w:rPr>
              <m:t>t</m:t>
            </m:r>
          </m:e>
          <m:sub>
            <m:r>
              <m:rPr/>
              <w:rPr>
                <w:rFonts w:hint="eastAsia"/>
              </w:rPr>
              <m:t>wmin</m:t>
            </m:r>
          </m:sub>
        </m:sSub>
      </m:oMath>
      <w:r>
        <w:rPr>
          <w:rFonts w:hint="eastAsia"/>
        </w:rPr>
        <w:t>为供热季最低室外温度，单位</w:t>
      </w:r>
      <m:oMath>
        <m:r>
          <m:rPr>
            <m:sty m:val="p"/>
          </m:rPr>
          <w:rPr>
            <w:rFonts w:hint="eastAsia"/>
          </w:rPr>
          <m:t>℃</m:t>
        </m:r>
      </m:oMath>
      <w:r>
        <w:rPr>
          <w:rFonts w:hint="eastAsia"/>
        </w:rPr>
        <w:t>；</w:t>
      </w:r>
    </w:p>
    <w:p>
      <w:pPr>
        <w:pStyle w:val="92"/>
        <w:ind w:left="960" w:firstLine="480"/>
      </w:pPr>
      <m:oMath>
        <m:sSub>
          <m:sSubPr/>
          <m:e>
            <m:r>
              <m:rPr/>
              <m:t>R</m:t>
            </m:r>
          </m:e>
          <m:sub>
            <m:r>
              <m:rPr/>
              <m:t>TB</m:t>
            </m:r>
          </m:sub>
        </m:sSub>
      </m:oMath>
      <w:r>
        <w:rPr>
          <w:rFonts w:hint="eastAsia"/>
        </w:rPr>
        <w:t>为热泵调峰占比；单位%。</w:t>
      </w:r>
    </w:p>
    <w:p>
      <w:pPr>
        <w:pStyle w:val="74"/>
        <w:numPr>
          <w:ilvl w:val="1"/>
          <w:numId w:val="17"/>
        </w:numPr>
        <w:spacing w:beforeLines="0" w:afterLines="0"/>
      </w:pPr>
      <w:r>
        <w:rPr>
          <w:rFonts w:hint="eastAsia"/>
        </w:rPr>
        <w:t>采灌井数</w:t>
      </w:r>
    </w:p>
    <w:p>
      <w:pPr>
        <w:ind w:firstLine="480"/>
      </w:pPr>
      <w:r>
        <w:rPr>
          <w:rFonts w:hint="eastAsia"/>
        </w:rPr>
        <w:t>采灌井数依据最大地热水产量需求、最大开井率、地热尾水回灌率进行计算，见公式</w:t>
      </w:r>
      <w:r>
        <w:t>6</w:t>
      </w:r>
      <w:r>
        <w:rPr>
          <w:rFonts w:hint="eastAsia"/>
        </w:rPr>
        <w:t>。</w:t>
      </w:r>
    </w:p>
    <w:p>
      <w:pPr>
        <w:ind w:firstLine="480"/>
        <w:jc w:val="right"/>
      </w:pPr>
      <m:oMath>
        <m:sSub>
          <m:sSubPr>
            <m:ctrlPr>
              <w:rPr>
                <w:rFonts w:ascii="Cambria Math" w:hAnsi="Cambria Math"/>
              </w:rPr>
            </m:ctrlPr>
          </m:sSubPr>
          <m:e>
            <m:r>
              <m:rPr/>
              <w:rPr>
                <w:rFonts w:ascii="Cambria Math" w:hAnsi="Cambria Math"/>
              </w:rPr>
              <m:t>H</m:t>
            </m:r>
            <m:ctrlPr>
              <w:rPr>
                <w:rFonts w:ascii="Cambria Math" w:hAnsi="Cambria Math"/>
              </w:rPr>
            </m:ctrlPr>
          </m:e>
          <m:sub>
            <m:r>
              <m:rPr/>
              <w:rPr>
                <w:rFonts w:ascii="Cambria Math" w:hAnsi="Cambria Math"/>
              </w:rPr>
              <m:t>CGJ</m:t>
            </m:r>
            <m:ctrlPr>
              <w:rPr>
                <w:rFonts w:ascii="Cambria Math" w:hAnsi="Cambria Math"/>
              </w:rPr>
            </m:ctrlPr>
          </m:sub>
        </m:sSub>
        <m:r>
          <m:rPr>
            <m:sty m:val="p"/>
          </m:rPr>
          <w:rPr>
            <w:rFonts w:ascii="Cambria Math" w:hAnsi="Cambria Math"/>
          </w:rPr>
          <m:t>=</m:t>
        </m:r>
        <m:f>
          <m:fPr>
            <m:ctrlPr>
              <w:rPr>
                <w:rFonts w:ascii="Cambria Math" w:hAnsi="Cambria Math"/>
                <w:i/>
              </w:rPr>
            </m:ctrlPr>
          </m:fPr>
          <m:num>
            <m:sSub>
              <m:sSubPr>
                <m:ctrlPr>
                  <w:rPr>
                    <w:rFonts w:ascii="Cambria Math" w:hAnsi="Cambria Math"/>
                  </w:rPr>
                </m:ctrlPr>
              </m:sSubPr>
              <m:e>
                <m:r>
                  <m:rPr/>
                  <w:rPr>
                    <w:rFonts w:ascii="Cambria Math" w:hAnsi="Cambria Math"/>
                  </w:rPr>
                  <m:t>G</m:t>
                </m:r>
                <m:ctrlPr>
                  <w:rPr>
                    <w:rFonts w:ascii="Cambria Math" w:hAnsi="Cambria Math"/>
                  </w:rPr>
                </m:ctrlPr>
              </m:e>
              <m:sub>
                <m:r>
                  <m:rPr/>
                  <w:rPr>
                    <w:rFonts w:ascii="Cambria Math" w:hAnsi="Cambria Math"/>
                  </w:rPr>
                  <m:t>CK</m:t>
                </m:r>
                <m:r>
                  <m:rPr/>
                  <w:rPr>
                    <w:rFonts w:hint="eastAsia" w:ascii="Cambria Math" w:hAnsi="Cambria Math"/>
                  </w:rPr>
                  <m:t>max</m:t>
                </m:r>
                <m:ctrlPr>
                  <w:rPr>
                    <w:rFonts w:ascii="Cambria Math" w:hAnsi="Cambria Math"/>
                  </w:rPr>
                </m:ctrlPr>
              </m:sub>
            </m:sSub>
            <m:ctrlPr>
              <w:rPr>
                <w:rFonts w:ascii="Cambria Math" w:hAnsi="Cambria Math"/>
                <w:i/>
              </w:rPr>
            </m:ctrlPr>
          </m:num>
          <m:den>
            <m:sSub>
              <m:sSubPr>
                <m:ctrlPr>
                  <w:rPr>
                    <w:rFonts w:ascii="Cambria Math" w:hAnsi="Cambria Math"/>
                  </w:rPr>
                </m:ctrlPr>
              </m:sSubPr>
              <m:e>
                <m:r>
                  <m:rPr/>
                  <w:rPr>
                    <w:rFonts w:ascii="Cambria Math" w:hAnsi="Cambria Math"/>
                  </w:rPr>
                  <m:t>ρ</m:t>
                </m:r>
                <m:ctrlPr>
                  <w:rPr>
                    <w:rFonts w:ascii="Cambria Math" w:hAnsi="Cambria Math"/>
                  </w:rPr>
                </m:ctrlPr>
              </m:e>
              <m:sub>
                <m:r>
                  <m:rPr/>
                  <w:rPr>
                    <w:rFonts w:hint="eastAsia" w:ascii="Cambria Math" w:hAnsi="Cambria Math"/>
                  </w:rPr>
                  <m:t>max</m:t>
                </m:r>
                <m:ctrlPr>
                  <w:rPr>
                    <w:rFonts w:ascii="Cambria Math" w:hAnsi="Cambria Math"/>
                  </w:rPr>
                </m:ctrlPr>
              </m:sub>
            </m:sSub>
            <m:ctrlPr>
              <w:rPr>
                <w:rFonts w:ascii="Cambria Math" w:hAnsi="Cambria Math"/>
                <w:i/>
              </w:rPr>
            </m:ctrlPr>
          </m:den>
        </m:f>
        <m:r>
          <m:rPr/>
          <w:rPr>
            <w:rFonts w:ascii="Cambria Math" w:hAnsi="Cambria Math"/>
          </w:rPr>
          <m:t>×</m:t>
        </m:r>
        <m:d>
          <m:dPr>
            <m:ctrlPr>
              <w:rPr>
                <w:rFonts w:ascii="Cambria Math" w:hAnsi="Cambria Math"/>
                <w:i/>
              </w:rPr>
            </m:ctrlPr>
          </m:dPr>
          <m:e>
            <m:f>
              <m:fPr>
                <m:ctrlPr>
                  <w:rPr>
                    <w:rFonts w:ascii="Cambria Math" w:hAnsi="Cambria Math"/>
                    <w:i/>
                  </w:rPr>
                </m:ctrlPr>
              </m:fPr>
              <m:num>
                <m:r>
                  <m:rPr/>
                  <w:rPr>
                    <w:rFonts w:ascii="Cambria Math" w:hAnsi="Cambria Math"/>
                  </w:rPr>
                  <m:t>1</m:t>
                </m:r>
                <m:ctrlPr>
                  <w:rPr>
                    <w:rFonts w:ascii="Cambria Math" w:hAnsi="Cambria Math"/>
                    <w:i/>
                  </w:rPr>
                </m:ctrlPr>
              </m:num>
              <m:den>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c</m:t>
                    </m:r>
                    <m:ctrlPr>
                      <w:rPr>
                        <w:rFonts w:ascii="Cambria Math" w:hAnsi="Cambria Math"/>
                      </w:rPr>
                    </m:ctrlPr>
                  </m:sub>
                </m:sSub>
                <m:ctrlPr>
                  <w:rPr>
                    <w:rFonts w:ascii="Cambria Math" w:hAnsi="Cambria Math"/>
                    <w:i/>
                  </w:rPr>
                </m:ctrlPr>
              </m:den>
            </m:f>
            <m:r>
              <m:rPr/>
              <w:rPr>
                <w:rFonts w:ascii="Cambria Math" w:hAnsi="Cambria Math"/>
              </w:rPr>
              <m:t>+</m:t>
            </m:r>
            <m:f>
              <m:fPr>
                <m:ctrlPr>
                  <w:rPr>
                    <w:rFonts w:ascii="Cambria Math" w:hAnsi="Cambria Math"/>
                    <w:i/>
                  </w:rPr>
                </m:ctrlPr>
              </m:fPr>
              <m:num>
                <m:r>
                  <m:rPr/>
                  <w:rPr>
                    <w:rFonts w:ascii="Cambria Math" w:hAnsi="Cambria Math"/>
                  </w:rPr>
                  <m:t>α</m:t>
                </m:r>
                <m:ctrlPr>
                  <w:rPr>
                    <w:rFonts w:ascii="Cambria Math" w:hAnsi="Cambria Math"/>
                    <w:i/>
                  </w:rPr>
                </m:ctrlPr>
              </m:num>
              <m:den>
                <m:sSub>
                  <m:sSubPr>
                    <m:ctrlPr>
                      <w:rPr>
                        <w:rFonts w:ascii="Cambria Math" w:hAnsi="Cambria Math"/>
                      </w:rPr>
                    </m:ctrlPr>
                  </m:sSubPr>
                  <m:e>
                    <m:r>
                      <m:rPr/>
                      <w:rPr>
                        <w:rFonts w:ascii="Cambria Math" w:hAnsi="Cambria Math"/>
                      </w:rPr>
                      <m:t>Q</m:t>
                    </m:r>
                    <m:ctrlPr>
                      <w:rPr>
                        <w:rFonts w:ascii="Cambria Math" w:hAnsi="Cambria Math"/>
                      </w:rPr>
                    </m:ctrlPr>
                  </m:e>
                  <m:sub>
                    <m:r>
                      <m:rPr/>
                      <w:rPr>
                        <w:rFonts w:hint="eastAsia" w:ascii="Cambria Math" w:hAnsi="Cambria Math"/>
                      </w:rPr>
                      <m:t>g</m:t>
                    </m:r>
                    <m:ctrlPr>
                      <w:rPr>
                        <w:rFonts w:ascii="Cambria Math" w:hAnsi="Cambria Math"/>
                      </w:rPr>
                    </m:ctrlPr>
                  </m:sub>
                </m:sSub>
                <m:ctrlPr>
                  <w:rPr>
                    <w:rFonts w:ascii="Cambria Math" w:hAnsi="Cambria Math"/>
                    <w:i/>
                  </w:rPr>
                </m:ctrlPr>
              </m:den>
            </m:f>
            <m:ctrlPr>
              <w:rPr>
                <w:rFonts w:ascii="Cambria Math" w:hAnsi="Cambria Math"/>
                <w:i/>
              </w:rPr>
            </m:ctrlPr>
          </m:e>
        </m:d>
      </m:oMath>
      <w:r>
        <w:rPr>
          <w:rFonts w:hint="eastAsia"/>
        </w:rPr>
        <w:t xml:space="preserve"> </w:t>
      </w:r>
      <w:r>
        <w:t xml:space="preserve">              </w:t>
      </w:r>
      <w:r>
        <w:rPr>
          <w:rFonts w:hint="eastAsia"/>
        </w:rPr>
        <w:t>（</w:t>
      </w:r>
      <w:r>
        <w:t>6</w:t>
      </w:r>
      <w:r>
        <w:rPr>
          <w:rFonts w:hint="eastAsia"/>
        </w:rPr>
        <w:t>）</w:t>
      </w:r>
    </w:p>
    <w:p>
      <w:pPr>
        <w:ind w:firstLine="480"/>
      </w:pPr>
      <w:r>
        <w:rPr>
          <w:rFonts w:hint="eastAsia"/>
        </w:rPr>
        <w:t>式中：</w:t>
      </w:r>
    </w:p>
    <w:p>
      <w:pPr>
        <w:pStyle w:val="92"/>
        <w:ind w:left="960" w:firstLine="480"/>
      </w:pPr>
      <m:oMath>
        <m:sSub>
          <m:sSubPr/>
          <m:e>
            <m:r>
              <m:rPr/>
              <m:t>H</m:t>
            </m:r>
          </m:e>
          <m:sub>
            <m:r>
              <m:rPr/>
              <m:t>CGJ</m:t>
            </m:r>
          </m:sub>
        </m:sSub>
      </m:oMath>
      <w:r>
        <w:rPr>
          <w:rFonts w:hint="eastAsia"/>
        </w:rPr>
        <w:t>为部署采灌井数，单位口；</w:t>
      </w:r>
    </w:p>
    <w:p>
      <w:pPr>
        <w:pStyle w:val="92"/>
        <w:ind w:left="960" w:firstLine="480"/>
      </w:pPr>
      <m:oMath>
        <m:sSub>
          <m:sSubPr/>
          <m:e>
            <m:r>
              <m:rPr/>
              <m:t>G</m:t>
            </m:r>
          </m:e>
          <m:sub>
            <m:r>
              <m:rPr/>
              <m:t>CK</m:t>
            </m:r>
            <m:r>
              <m:rPr/>
              <w:rPr>
                <w:rFonts w:hint="eastAsia"/>
              </w:rPr>
              <m:t>max</m:t>
            </m:r>
          </m:sub>
        </m:sSub>
      </m:oMath>
      <w:r>
        <w:rPr>
          <w:rFonts w:hint="eastAsia"/>
        </w:rPr>
        <w:t>为地热水最大产量，单位</w:t>
      </w:r>
      <m:oMath>
        <m:sSup>
          <m:sSupPr>
            <m:ctrlPr>
              <w:rPr>
                <w:i/>
              </w:rPr>
            </m:ctrlPr>
          </m:sSupPr>
          <m:e>
            <m:r>
              <m:rPr/>
              <w:rPr>
                <w:rFonts w:hint="eastAsia"/>
              </w:rPr>
              <m:t>m</m:t>
            </m:r>
            <m:ctrlPr>
              <w:rPr>
                <w:i/>
              </w:rPr>
            </m:ctrlPr>
          </m:e>
          <m:sup>
            <m:r>
              <m:rPr/>
              <m:t>3</m:t>
            </m:r>
            <m:ctrlPr>
              <w:rPr>
                <w:i/>
              </w:rPr>
            </m:ctrlPr>
          </m:sup>
        </m:sSup>
        <m:r>
          <m:rPr>
            <m:sty m:val="p"/>
          </m:rPr>
          <w:rPr>
            <w:rFonts w:hint="eastAsia"/>
          </w:rPr>
          <m:t>/</m:t>
        </m:r>
        <m:r>
          <m:rPr/>
          <w:rPr>
            <w:rFonts w:hint="eastAsia" w:eastAsia="MS Mincho" w:cs="MS Mincho"/>
          </w:rPr>
          <m:t>ℎ</m:t>
        </m:r>
      </m:oMath>
      <w:r>
        <w:rPr>
          <w:rFonts w:hint="eastAsia"/>
        </w:rPr>
        <w:t>；</w:t>
      </w:r>
    </w:p>
    <w:p>
      <w:pPr>
        <w:pStyle w:val="92"/>
        <w:ind w:left="960" w:firstLine="480"/>
      </w:pPr>
      <m:oMath>
        <m:sSub>
          <m:sSubPr>
            <m:ctrlPr>
              <w:rPr>
                <w:i/>
              </w:rPr>
            </m:ctrlPr>
          </m:sSubPr>
          <m:e>
            <m:r>
              <m:rPr/>
              <m:t>ρ</m:t>
            </m:r>
            <m:ctrlPr>
              <w:rPr>
                <w:i/>
              </w:rPr>
            </m:ctrlPr>
          </m:e>
          <m:sub>
            <m:r>
              <m:rPr/>
              <w:rPr>
                <w:rFonts w:hint="eastAsia"/>
              </w:rPr>
              <m:t>max</m:t>
            </m:r>
            <m:ctrlPr>
              <w:rPr>
                <w:i/>
              </w:rPr>
            </m:ctrlPr>
          </m:sub>
        </m:sSub>
      </m:oMath>
      <w:r>
        <w:rPr>
          <w:rFonts w:hint="eastAsia"/>
        </w:rPr>
        <w:t>为供热季取热水井最大开井率，单位%；</w:t>
      </w:r>
    </w:p>
    <w:p>
      <w:pPr>
        <w:pStyle w:val="92"/>
        <w:ind w:left="960" w:firstLine="480"/>
      </w:pPr>
      <m:oMath>
        <m:sSub>
          <m:sSubPr/>
          <m:e>
            <m:r>
              <m:rPr/>
              <m:t>Q</m:t>
            </m:r>
          </m:e>
          <m:sub>
            <m:r>
              <m:rPr/>
              <m:t>c</m:t>
            </m:r>
          </m:sub>
        </m:sSub>
      </m:oMath>
      <w:r>
        <w:rPr>
          <w:rFonts w:hint="eastAsia"/>
        </w:rPr>
        <w:t>为取热水井产能，单位</w:t>
      </w:r>
      <m:oMath>
        <m:sSup>
          <m:sSupPr/>
          <m:e>
            <m:r>
              <m:rPr/>
              <w:rPr>
                <w:rFonts w:hint="eastAsia"/>
              </w:rPr>
              <m:t>m</m:t>
            </m:r>
          </m:e>
          <m:sup>
            <m:r>
              <m:rPr>
                <m:sty m:val="p"/>
              </m:rPr>
              <m:t>3</m:t>
            </m:r>
          </m:sup>
        </m:sSup>
        <m:r>
          <m:rPr>
            <m:sty m:val="p"/>
          </m:rPr>
          <m:t>/</m:t>
        </m:r>
        <m:r>
          <m:rPr/>
          <w:rPr>
            <w:rFonts w:hint="eastAsia" w:eastAsia="MS Mincho" w:cs="MS Mincho"/>
          </w:rPr>
          <m:t>ℎ</m:t>
        </m:r>
      </m:oMath>
      <w:r>
        <w:rPr>
          <w:rFonts w:hint="eastAsia"/>
        </w:rPr>
        <w:t>；</w:t>
      </w:r>
    </w:p>
    <w:p>
      <w:pPr>
        <w:pStyle w:val="92"/>
        <w:ind w:left="960" w:firstLine="480"/>
      </w:pPr>
      <m:oMath>
        <m:sSub>
          <m:sSubPr/>
          <m:e>
            <m:r>
              <m:rPr/>
              <m:t>Q</m:t>
            </m:r>
          </m:e>
          <m:sub>
            <m:r>
              <m:rPr/>
              <w:rPr>
                <w:rFonts w:hint="eastAsia"/>
              </w:rPr>
              <m:t>g</m:t>
            </m:r>
          </m:sub>
        </m:sSub>
      </m:oMath>
      <w:r>
        <w:rPr>
          <w:rFonts w:hint="eastAsia"/>
        </w:rPr>
        <w:t>为地热尾水回灌井回灌能力，单位</w:t>
      </w:r>
      <m:oMath>
        <m:sSup>
          <m:sSupPr/>
          <m:e>
            <m:r>
              <m:rPr/>
              <w:rPr>
                <w:rFonts w:hint="eastAsia"/>
              </w:rPr>
              <m:t>m</m:t>
            </m:r>
          </m:e>
          <m:sup>
            <m:r>
              <m:rPr>
                <m:sty m:val="p"/>
              </m:rPr>
              <m:t>3</m:t>
            </m:r>
          </m:sup>
        </m:sSup>
        <m:r>
          <m:rPr>
            <m:sty m:val="p"/>
          </m:rPr>
          <m:t>/</m:t>
        </m:r>
        <m:r>
          <m:rPr/>
          <w:rPr>
            <w:rFonts w:hint="eastAsia" w:eastAsia="MS Mincho" w:cs="MS Mincho"/>
          </w:rPr>
          <m:t>ℎ</m:t>
        </m:r>
      </m:oMath>
      <w:r>
        <w:rPr>
          <w:rFonts w:hint="eastAsia"/>
        </w:rPr>
        <w:t>；</w:t>
      </w:r>
    </w:p>
    <w:p>
      <w:pPr>
        <w:pStyle w:val="92"/>
        <w:ind w:left="960" w:firstLine="480"/>
      </w:pPr>
      <m:oMath>
        <m:r>
          <m:rPr/>
          <m:t>α</m:t>
        </m:r>
      </m:oMath>
      <w:r>
        <w:rPr>
          <w:rFonts w:hint="eastAsia"/>
        </w:rPr>
        <w:t>为地热尾水回灌率，单位%。</w:t>
      </w:r>
    </w:p>
    <w:p>
      <w:pPr>
        <w:pStyle w:val="74"/>
        <w:numPr>
          <w:ilvl w:val="1"/>
          <w:numId w:val="17"/>
        </w:numPr>
        <w:spacing w:beforeLines="0" w:afterLines="0"/>
        <w:rPr>
          <w:shd w:val="clear" w:color="auto" w:fill="FFFFFF"/>
        </w:rPr>
      </w:pPr>
      <w:r>
        <w:rPr>
          <w:rFonts w:hint="eastAsia"/>
          <w:shd w:val="clear" w:color="auto" w:fill="FFFFFF"/>
        </w:rPr>
        <w:t>地热能开发利用率</w:t>
      </w:r>
    </w:p>
    <w:p>
      <w:pPr>
        <w:ind w:firstLine="480"/>
      </w:pPr>
      <w:r>
        <w:rPr>
          <w:rFonts w:hint="eastAsia"/>
        </w:rPr>
        <w:t>地热能开发利用率按照逐时的地热尾水回灌量、平均回灌温度以及地热水产量和温度计算，，见公式</w:t>
      </w:r>
      <w:r>
        <w:t>7</w:t>
      </w:r>
      <w:r>
        <w:rPr>
          <w:rFonts w:hint="eastAsia"/>
        </w:rPr>
        <w:t>。</w:t>
      </w:r>
    </w:p>
    <w:p>
      <w:pPr>
        <w:ind w:firstLine="480"/>
        <w:jc w:val="right"/>
      </w:pPr>
      <m:oMath>
        <m:sSub>
          <m:sSubPr>
            <m:ctrlPr>
              <w:rPr>
                <w:rFonts w:ascii="Cambria Math" w:hAnsi="Cambria Math"/>
                <w:i/>
              </w:rPr>
            </m:ctrlPr>
          </m:sSubPr>
          <m:e>
            <m:r>
              <m:rPr/>
              <w:rPr>
                <w:rFonts w:ascii="Cambria Math" w:hAnsi="Cambria Math"/>
              </w:rPr>
              <m:t>η</m:t>
            </m:r>
            <m:ctrlPr>
              <w:rPr>
                <w:rFonts w:ascii="Cambria Math" w:hAnsi="Cambria Math"/>
                <w:i/>
              </w:rPr>
            </m:ctrlPr>
          </m:e>
          <m:sub>
            <m:r>
              <m:rPr/>
              <w:rPr>
                <w:rFonts w:ascii="Cambria Math" w:hAnsi="Cambria Math"/>
              </w:rPr>
              <m:t>D</m:t>
            </m:r>
            <m:ctrlPr>
              <w:rPr>
                <w:rFonts w:ascii="Cambria Math" w:hAnsi="Cambria Math"/>
                <w:i/>
              </w:rPr>
            </m:ctrlPr>
          </m:sub>
        </m:sSub>
        <m:r>
          <m:rPr/>
          <w:rPr>
            <w:rFonts w:ascii="Cambria Math" w:hAnsi="Cambria Math"/>
          </w:rPr>
          <m:t>=100%×</m:t>
        </m:r>
        <m:nary>
          <m:naryPr>
            <m:chr m:val="∑"/>
            <m:limLoc m:val="undOvr"/>
            <m:ctrlPr>
              <w:rPr>
                <w:rFonts w:ascii="Cambria Math" w:hAnsi="Cambria Math"/>
                <w:i/>
              </w:rPr>
            </m:ctrlPr>
          </m:naryPr>
          <m:sub>
            <m:r>
              <m:rPr/>
              <w:rPr>
                <w:rFonts w:hint="eastAsia" w:ascii="Cambria Math" w:hAnsi="Cambria Math"/>
              </w:rPr>
              <m:t>i</m:t>
            </m:r>
            <m:r>
              <m:rPr/>
              <w:rPr>
                <w:rFonts w:ascii="Cambria Math" w:hAnsi="Cambria Math"/>
              </w:rPr>
              <m:t>=1</m:t>
            </m:r>
            <m:ctrlPr>
              <w:rPr>
                <w:rFonts w:ascii="Cambria Math" w:hAnsi="Cambria Math"/>
                <w:i/>
              </w:rPr>
            </m:ctrlPr>
          </m:sub>
          <m:sup>
            <m:r>
              <m:rPr/>
              <w:rPr>
                <w:rFonts w:hint="eastAsia" w:ascii="Cambria Math" w:hAnsi="Cambria Math"/>
              </w:rPr>
              <m:t>n</m:t>
            </m:r>
            <m:ctrlPr>
              <w:rPr>
                <w:rFonts w:ascii="Cambria Math" w:hAnsi="Cambria Math"/>
                <w:i/>
              </w:rPr>
            </m:ctrlPr>
          </m:sup>
          <m:e>
            <m:d>
              <m:dPr>
                <m:ctrlPr>
                  <w:rPr>
                    <w:rFonts w:ascii="Cambria Math" w:hAnsi="Cambria Math"/>
                    <w:i/>
                  </w:rPr>
                </m:ctrlPr>
              </m:dPr>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D</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TF</m:t>
                    </m:r>
                    <m:r>
                      <m:rPr/>
                      <w:rPr>
                        <w:rFonts w:hint="eastAsia" w:ascii="Cambria Math" w:hAnsi="Cambria Math"/>
                      </w:rPr>
                      <m:t>i</m:t>
                    </m:r>
                    <m:ctrlPr>
                      <w:rPr>
                        <w:rFonts w:ascii="Cambria Math" w:hAnsi="Cambria Math"/>
                        <w:i/>
                      </w:rPr>
                    </m:ctrlPr>
                  </m:sub>
                </m:sSub>
                <m:ctrlPr>
                  <w:rPr>
                    <w:rFonts w:ascii="Cambria Math" w:hAnsi="Cambria Math"/>
                    <w:i/>
                  </w:rPr>
                </m:ctrlPr>
              </m:e>
            </m:d>
            <m:ctrlPr>
              <w:rPr>
                <w:rFonts w:ascii="Cambria Math" w:hAnsi="Cambria Math"/>
                <w:i/>
              </w:rPr>
            </m:ctrlPr>
          </m:e>
        </m:nary>
        <m:r>
          <m:rPr/>
          <w:rPr>
            <w:rFonts w:ascii="Cambria Math" w:hAnsi="Cambria Math"/>
          </w:rPr>
          <m:t>×</m:t>
        </m:r>
        <m:sSub>
          <m:sSubPr>
            <m:ctrlPr>
              <w:rPr>
                <w:rFonts w:ascii="Cambria Math" w:hAnsi="Cambria Math"/>
              </w:rPr>
            </m:ctrlPr>
          </m:sSubPr>
          <m:e>
            <m:r>
              <m:rPr/>
              <w:rPr>
                <w:rFonts w:ascii="Cambria Math" w:hAnsi="Cambria Math"/>
              </w:rPr>
              <m:t>Q</m:t>
            </m:r>
            <m:ctrlPr>
              <w:rPr>
                <w:rFonts w:ascii="Cambria Math" w:hAnsi="Cambria Math"/>
              </w:rPr>
            </m:ctrlPr>
          </m:e>
          <m:sub>
            <m:r>
              <m:rPr/>
              <w:rPr>
                <w:rFonts w:hint="eastAsia" w:ascii="Cambria Math" w:hAnsi="Cambria Math"/>
              </w:rPr>
              <m:t>gi</m:t>
            </m:r>
            <m:ctrlPr>
              <w:rPr>
                <w:rFonts w:ascii="Cambria Math" w:hAnsi="Cambria Math"/>
              </w:rPr>
            </m:ctrlPr>
          </m:sub>
        </m:sSub>
        <m:r>
          <m:rPr/>
          <w:rPr>
            <w:rFonts w:ascii="Cambria Math" w:hAnsi="Cambria Math"/>
          </w:rPr>
          <m:t>÷</m:t>
        </m:r>
        <m:nary>
          <m:naryPr>
            <m:chr m:val="∑"/>
            <m:limLoc m:val="undOvr"/>
            <m:ctrlPr>
              <w:rPr>
                <w:rFonts w:ascii="Cambria Math" w:hAnsi="Cambria Math"/>
                <w:i/>
              </w:rPr>
            </m:ctrlPr>
          </m:naryPr>
          <m:sub>
            <m:r>
              <m:rPr/>
              <w:rPr>
                <w:rFonts w:hint="eastAsia" w:ascii="Cambria Math" w:hAnsi="Cambria Math"/>
              </w:rPr>
              <m:t>i</m:t>
            </m:r>
            <m:r>
              <m:rPr/>
              <w:rPr>
                <w:rFonts w:ascii="Cambria Math" w:hAnsi="Cambria Math"/>
              </w:rPr>
              <m:t>=1</m:t>
            </m:r>
            <m:ctrlPr>
              <w:rPr>
                <w:rFonts w:ascii="Cambria Math" w:hAnsi="Cambria Math"/>
                <w:i/>
              </w:rPr>
            </m:ctrlPr>
          </m:sub>
          <m:sup>
            <m:r>
              <m:rPr/>
              <w:rPr>
                <w:rFonts w:hint="eastAsia" w:ascii="Cambria Math" w:hAnsi="Cambria Math"/>
              </w:rPr>
              <m:t>n</m:t>
            </m:r>
            <m:ctrlPr>
              <w:rPr>
                <w:rFonts w:ascii="Cambria Math" w:hAnsi="Cambria Math"/>
                <w:i/>
              </w:rPr>
            </m:ctrlPr>
          </m:sup>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D</m:t>
                </m:r>
                <m:ctrlPr>
                  <w:rPr>
                    <w:rFonts w:ascii="Cambria Math" w:hAnsi="Cambria Math"/>
                    <w:i/>
                  </w:rPr>
                </m:ctrlPr>
              </m:sub>
            </m:sSub>
            <m:ctrlPr>
              <w:rPr>
                <w:rFonts w:ascii="Cambria Math" w:hAnsi="Cambria Math"/>
                <w:i/>
              </w:rPr>
            </m:ctrlPr>
          </m:e>
        </m:nary>
        <m:r>
          <m:rPr/>
          <w:rPr>
            <w:rFonts w:ascii="Cambria Math" w:hAnsi="Cambria Math"/>
          </w:rPr>
          <m:t>×</m:t>
        </m:r>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c</m:t>
            </m:r>
            <m:r>
              <m:rPr/>
              <w:rPr>
                <w:rFonts w:hint="eastAsia" w:ascii="Cambria Math" w:hAnsi="Cambria Math"/>
              </w:rPr>
              <m:t>i</m:t>
            </m:r>
            <m:ctrlPr>
              <w:rPr>
                <w:rFonts w:ascii="Cambria Math" w:hAnsi="Cambria Math"/>
              </w:rPr>
            </m:ctrlPr>
          </m:sub>
        </m:sSub>
      </m:oMath>
      <w:r>
        <w:rPr>
          <w:rFonts w:hint="eastAsia"/>
        </w:rPr>
        <w:t xml:space="preserve"> </w:t>
      </w:r>
      <w:r>
        <w:t xml:space="preserve">   </w:t>
      </w:r>
      <w:r>
        <w:rPr>
          <w:rFonts w:hint="eastAsia"/>
        </w:rPr>
        <w:t>（</w:t>
      </w:r>
      <w:r>
        <w:t>7</w:t>
      </w:r>
      <w:r>
        <w:rPr>
          <w:rFonts w:hint="eastAsia"/>
        </w:rPr>
        <w:t>）</w:t>
      </w:r>
    </w:p>
    <w:p>
      <w:pPr>
        <w:ind w:firstLine="480"/>
      </w:pPr>
      <w:r>
        <w:rPr>
          <w:rFonts w:hint="eastAsia"/>
        </w:rPr>
        <w:t>式中：</w:t>
      </w:r>
    </w:p>
    <w:p>
      <w:pPr>
        <w:pStyle w:val="92"/>
        <w:ind w:left="960"/>
      </w:pPr>
      <m:oMath>
        <m:sSub>
          <m:sSubPr>
            <m:ctrlPr>
              <w:rPr>
                <w:i/>
              </w:rPr>
            </m:ctrlPr>
          </m:sSubPr>
          <m:e>
            <m:r>
              <m:rPr/>
              <m:t>η</m:t>
            </m:r>
            <m:ctrlPr>
              <w:rPr>
                <w:i/>
              </w:rPr>
            </m:ctrlPr>
          </m:e>
          <m:sub>
            <m:r>
              <m:rPr/>
              <m:t>D</m:t>
            </m:r>
            <m:ctrlPr>
              <w:rPr>
                <w:i/>
              </w:rPr>
            </m:ctrlPr>
          </m:sub>
        </m:sSub>
      </m:oMath>
      <w:r>
        <w:rPr>
          <w:rFonts w:hint="eastAsia"/>
        </w:rPr>
        <w:t>为地热能开发利用率，单位%；单位℃；</w:t>
      </w:r>
    </w:p>
    <w:p>
      <w:pPr>
        <w:pStyle w:val="92"/>
        <w:ind w:left="960"/>
      </w:pPr>
      <m:oMath>
        <m:sSub>
          <m:sSubPr>
            <m:ctrlPr>
              <w:rPr>
                <w:i/>
              </w:rPr>
            </m:ctrlPr>
          </m:sSubPr>
          <m:e>
            <m:r>
              <m:rPr/>
              <m:t>T</m:t>
            </m:r>
            <m:ctrlPr>
              <w:rPr>
                <w:i/>
              </w:rPr>
            </m:ctrlPr>
          </m:e>
          <m:sub>
            <m:r>
              <m:rPr/>
              <m:t>D</m:t>
            </m:r>
            <m:ctrlPr>
              <w:rPr>
                <w:i/>
              </w:rPr>
            </m:ctrlPr>
          </m:sub>
        </m:sSub>
      </m:oMath>
      <w:r>
        <w:rPr>
          <w:rFonts w:hint="eastAsia"/>
        </w:rPr>
        <w:t>为地热水温度，单位℃；</w:t>
      </w:r>
    </w:p>
    <w:p>
      <w:pPr>
        <w:pStyle w:val="92"/>
        <w:ind w:left="960"/>
      </w:pPr>
      <m:oMath>
        <m:sSub>
          <m:sSubPr>
            <m:ctrlPr>
              <w:rPr>
                <w:i/>
              </w:rPr>
            </m:ctrlPr>
          </m:sSubPr>
          <m:e>
            <m:r>
              <m:rPr/>
              <m:t>T</m:t>
            </m:r>
            <m:ctrlPr>
              <w:rPr>
                <w:i/>
              </w:rPr>
            </m:ctrlPr>
          </m:e>
          <m:sub>
            <m:r>
              <m:rPr/>
              <m:t>TF</m:t>
            </m:r>
            <m:r>
              <m:rPr/>
              <w:rPr>
                <w:rFonts w:hint="eastAsia"/>
              </w:rPr>
              <m:t>i</m:t>
            </m:r>
            <m:ctrlPr>
              <w:rPr>
                <w:i/>
              </w:rPr>
            </m:ctrlPr>
          </m:sub>
        </m:sSub>
      </m:oMath>
      <w:r>
        <w:rPr>
          <w:rFonts w:hint="eastAsia"/>
        </w:rPr>
        <w:t>为逐时地热尾水回灌温度，单位℃；</w:t>
      </w:r>
    </w:p>
    <w:p>
      <w:pPr>
        <w:pStyle w:val="92"/>
        <w:ind w:left="960"/>
      </w:pPr>
      <m:oMath>
        <m:sSub>
          <m:sSubPr/>
          <m:e>
            <m:r>
              <m:rPr/>
              <m:t>Q</m:t>
            </m:r>
          </m:e>
          <m:sub>
            <m:r>
              <m:rPr/>
              <w:rPr>
                <w:rFonts w:hint="eastAsia"/>
              </w:rPr>
              <m:t>gi</m:t>
            </m:r>
          </m:sub>
        </m:sSub>
      </m:oMath>
      <w:r>
        <w:rPr>
          <w:rFonts w:hint="eastAsia"/>
        </w:rPr>
        <w:t>为逐时地热尾水回灌量，单位</w:t>
      </w:r>
      <m:oMath>
        <m:sSup>
          <m:sSupPr>
            <m:ctrlPr>
              <w:rPr>
                <w:i/>
              </w:rPr>
            </m:ctrlPr>
          </m:sSupPr>
          <m:e>
            <m:r>
              <m:rPr/>
              <w:rPr>
                <w:rFonts w:hint="eastAsia"/>
              </w:rPr>
              <m:t>m</m:t>
            </m:r>
            <m:ctrlPr>
              <w:rPr>
                <w:i/>
              </w:rPr>
            </m:ctrlPr>
          </m:e>
          <m:sup>
            <m:r>
              <m:rPr/>
              <m:t>3</m:t>
            </m:r>
            <m:ctrlPr>
              <w:rPr>
                <w:i/>
              </w:rPr>
            </m:ctrlPr>
          </m:sup>
        </m:sSup>
      </m:oMath>
    </w:p>
    <w:p>
      <w:pPr>
        <w:pStyle w:val="92"/>
        <w:ind w:left="960"/>
      </w:pPr>
      <m:oMath>
        <m:sSub>
          <m:sSubPr/>
          <m:e>
            <m:r>
              <m:rPr/>
              <m:t>Q</m:t>
            </m:r>
          </m:e>
          <m:sub>
            <m:r>
              <m:rPr/>
              <m:t>c</m:t>
            </m:r>
            <m:r>
              <m:rPr/>
              <w:rPr>
                <w:rFonts w:hint="eastAsia"/>
              </w:rPr>
              <m:t>i</m:t>
            </m:r>
          </m:sub>
        </m:sSub>
      </m:oMath>
      <w:r>
        <w:rPr>
          <w:rFonts w:hint="eastAsia"/>
        </w:rPr>
        <w:t>为逐时地热水产量</w:t>
      </w:r>
      <m:oMath>
        <m:sSup>
          <m:sSupPr>
            <m:ctrlPr>
              <w:rPr>
                <w:i/>
              </w:rPr>
            </m:ctrlPr>
          </m:sSupPr>
          <m:e>
            <m:r>
              <m:rPr/>
              <w:rPr>
                <w:rFonts w:hint="eastAsia"/>
              </w:rPr>
              <m:t>m</m:t>
            </m:r>
            <m:ctrlPr>
              <w:rPr>
                <w:i/>
              </w:rPr>
            </m:ctrlPr>
          </m:e>
          <m:sup>
            <m:r>
              <m:rPr/>
              <m:t>3</m:t>
            </m:r>
            <m:ctrlPr>
              <w:rPr>
                <w:i/>
              </w:rPr>
            </m:ctrlPr>
          </m:sup>
        </m:sSup>
      </m:oMath>
      <w:r>
        <w:rPr>
          <w:rFonts w:hint="eastAsia"/>
        </w:rPr>
        <w:t>。</w:t>
      </w:r>
    </w:p>
    <w:p>
      <w:pPr>
        <w:pStyle w:val="3"/>
        <w:spacing w:before="163" w:after="163"/>
      </w:pPr>
      <w:r>
        <w:t>平准化</w:t>
      </w:r>
      <w:r>
        <w:rPr>
          <w:rFonts w:hint="eastAsia"/>
        </w:rPr>
        <w:t>供给热能</w:t>
      </w:r>
      <w:r>
        <w:t>成本</w:t>
      </w:r>
    </w:p>
    <w:p>
      <w:pPr>
        <w:ind w:firstLine="480"/>
      </w:pPr>
      <w:r>
        <w:t>平准化</w:t>
      </w:r>
      <w:r>
        <w:rPr>
          <w:rFonts w:hint="eastAsia"/>
        </w:rPr>
        <w:t>供给热能</w:t>
      </w:r>
      <w:r>
        <w:t>成本</w:t>
      </w:r>
      <w:r>
        <w:rPr>
          <w:rFonts w:hint="eastAsia"/>
        </w:rPr>
        <w:t>（</w:t>
      </w:r>
      <m:oMath>
        <m:r>
          <m:rPr>
            <m:sty m:val="bi"/>
          </m:rPr>
          <w:rPr>
            <w:rFonts w:hint="eastAsia" w:ascii="Cambria Math" w:hAnsi="Cambria Math"/>
          </w:rPr>
          <m:t>L</m:t>
        </m:r>
        <m:r>
          <m:rPr>
            <m:sty m:val="bi"/>
          </m:rPr>
          <w:rPr>
            <w:rFonts w:ascii="Cambria Math" w:hAnsi="Cambria Math"/>
          </w:rPr>
          <m:t>COE</m:t>
        </m:r>
      </m:oMath>
      <w:r>
        <w:rPr>
          <w:rFonts w:hint="eastAsia"/>
        </w:rPr>
        <w:t>）表示项目供给热能成本，按设定折现率（一般采用基准折现率）对项目评价期内的现金流出量和供给热能进行折现后测算，计算见公式</w:t>
      </w:r>
      <w:r>
        <w:t>8</w:t>
      </w:r>
      <w:r>
        <w:rPr>
          <w:rFonts w:hint="eastAsia"/>
        </w:rPr>
        <w:t>。</w:t>
      </w:r>
    </w:p>
    <w:p>
      <w:pPr>
        <w:spacing w:line="276" w:lineRule="auto"/>
        <w:ind w:firstLine="480"/>
        <w:jc w:val="right"/>
      </w:pPr>
      <m:oMath>
        <m:r>
          <m:rPr/>
          <w:rPr>
            <w:rFonts w:ascii="Cambria Math" w:hAnsi="Cambria Math"/>
          </w:rPr>
          <m:t>LCOE</m:t>
        </m:r>
        <m:r>
          <m:rPr>
            <m:sty m:val="p"/>
          </m:rPr>
          <w:rPr>
            <w:rFonts w:ascii="Cambria Math" w:hAnsi="Cambria Math"/>
          </w:rPr>
          <m:t>=</m:t>
        </m:r>
        <m:nary>
          <m:naryPr>
            <m:chr m:val="∑"/>
            <m:ctrlPr>
              <w:rPr>
                <w:rFonts w:ascii="Cambria Math" w:hAnsi="Cambria Math"/>
                <w:i/>
                <w:iCs/>
              </w:rPr>
            </m:ctrlPr>
          </m:naryPr>
          <m:sub>
            <m:r>
              <m:rPr/>
              <w:rPr>
                <w:rFonts w:ascii="Cambria Math" w:hAnsi="Cambria Math"/>
              </w:rPr>
              <m:t>t=0</m:t>
            </m:r>
            <m:ctrlPr>
              <w:rPr>
                <w:rFonts w:ascii="Cambria Math" w:hAnsi="Cambria Math"/>
                <w:i/>
                <w:iCs/>
              </w:rPr>
            </m:ctrlPr>
          </m:sub>
          <m:sup>
            <m:r>
              <m:rPr/>
              <w:rPr>
                <w:rFonts w:ascii="Cambria Math" w:hAnsi="Cambria Math"/>
              </w:rPr>
              <m:t>n</m:t>
            </m:r>
            <m:ctrlPr>
              <w:rPr>
                <w:rFonts w:ascii="Cambria Math" w:hAnsi="Cambria Math"/>
                <w:i/>
                <w:iCs/>
              </w:rPr>
            </m:ctrlPr>
          </m:sup>
          <m:e>
            <m:f>
              <m:fPr>
                <m:ctrlPr>
                  <w:rPr>
                    <w:rFonts w:ascii="Cambria Math" w:hAnsi="Cambria Math"/>
                    <w:i/>
                    <w:iCs/>
                  </w:rPr>
                </m:ctrlPr>
              </m:fPr>
              <m:num>
                <m:sSub>
                  <m:sSubPr>
                    <m:ctrlPr>
                      <w:rPr>
                        <w:rFonts w:ascii="Cambria Math" w:hAnsi="Cambria Math"/>
                        <w:i/>
                        <w:iCs/>
                      </w:rPr>
                    </m:ctrlPr>
                  </m:sSubPr>
                  <m:e>
                    <m:r>
                      <m:rPr/>
                      <w:rPr>
                        <w:rFonts w:ascii="Cambria Math" w:hAnsi="Cambria Math"/>
                      </w:rPr>
                      <m:t>CO</m:t>
                    </m:r>
                    <m:ctrlPr>
                      <w:rPr>
                        <w:rFonts w:ascii="Cambria Math" w:hAnsi="Cambria Math"/>
                        <w:i/>
                        <w:iCs/>
                      </w:rPr>
                    </m:ctrlPr>
                  </m:e>
                  <m:sub>
                    <m:r>
                      <m:rPr/>
                      <w:rPr>
                        <w:rFonts w:ascii="Cambria Math" w:hAnsi="Cambria Math"/>
                      </w:rPr>
                      <m:t>t</m:t>
                    </m:r>
                    <m:ctrlPr>
                      <w:rPr>
                        <w:rFonts w:ascii="Cambria Math" w:hAnsi="Cambria Math"/>
                        <w:i/>
                        <w:iCs/>
                      </w:rPr>
                    </m:ctrlPr>
                  </m:sub>
                </m:sSub>
                <m:ctrlPr>
                  <w:rPr>
                    <w:rFonts w:ascii="Cambria Math" w:hAnsi="Cambria Math"/>
                    <w:i/>
                    <w:iCs/>
                  </w:rPr>
                </m:ctrlPr>
              </m:num>
              <m:den>
                <m:sSup>
                  <m:sSupPr>
                    <m:ctrlPr>
                      <w:rPr>
                        <w:rFonts w:ascii="Cambria Math" w:hAnsi="Cambria Math"/>
                        <w:i/>
                        <w:iCs/>
                      </w:rPr>
                    </m:ctrlPr>
                  </m:sSupPr>
                  <m:e>
                    <m:d>
                      <m:dPr>
                        <m:ctrlPr>
                          <w:rPr>
                            <w:rFonts w:ascii="Cambria Math" w:hAnsi="Cambria Math"/>
                            <w:i/>
                            <w:iCs/>
                          </w:rPr>
                        </m:ctrlPr>
                      </m:dPr>
                      <m:e>
                        <m:r>
                          <m:rPr/>
                          <w:rPr>
                            <w:rFonts w:ascii="Cambria Math" w:hAnsi="Cambria Math"/>
                          </w:rPr>
                          <m:t>1+</m:t>
                        </m:r>
                        <m:sSub>
                          <m:sSubPr>
                            <m:ctrlPr>
                              <w:rPr>
                                <w:rFonts w:ascii="Cambria Math" w:hAnsi="Cambria Math"/>
                              </w:rPr>
                            </m:ctrlPr>
                          </m:sSubPr>
                          <m:e>
                            <m:r>
                              <m:rPr/>
                              <w:rPr>
                                <w:rFonts w:ascii="Cambria Math" w:hAnsi="Cambria Math"/>
                              </w:rPr>
                              <m:t>i</m:t>
                            </m:r>
                            <m:ctrlPr>
                              <w:rPr>
                                <w:rFonts w:ascii="Cambria Math" w:hAnsi="Cambria Math"/>
                              </w:rPr>
                            </m:ctrlPr>
                          </m:e>
                          <m:sub>
                            <m:r>
                              <m:rPr/>
                              <w:rPr>
                                <w:rFonts w:ascii="Cambria Math" w:hAnsi="Cambria Math"/>
                              </w:rPr>
                              <m:t>c</m:t>
                            </m:r>
                            <m:ctrlPr>
                              <w:rPr>
                                <w:rFonts w:ascii="Cambria Math" w:hAnsi="Cambria Math"/>
                              </w:rPr>
                            </m:ctrlPr>
                          </m:sub>
                        </m:sSub>
                        <m:ctrlPr>
                          <w:rPr>
                            <w:rFonts w:ascii="Cambria Math" w:hAnsi="Cambria Math"/>
                            <w:i/>
                            <w:iCs/>
                          </w:rPr>
                        </m:ctrlPr>
                      </m:e>
                    </m:d>
                    <m:ctrlPr>
                      <w:rPr>
                        <w:rFonts w:ascii="Cambria Math" w:hAnsi="Cambria Math"/>
                        <w:i/>
                        <w:iCs/>
                      </w:rPr>
                    </m:ctrlPr>
                  </m:e>
                  <m:sup>
                    <m:r>
                      <m:rPr/>
                      <w:rPr>
                        <w:rFonts w:ascii="Cambria Math" w:hAnsi="Cambria Math"/>
                      </w:rPr>
                      <m:t>t</m:t>
                    </m:r>
                    <m:ctrlPr>
                      <w:rPr>
                        <w:rFonts w:ascii="Cambria Math" w:hAnsi="Cambria Math"/>
                        <w:i/>
                        <w:iCs/>
                      </w:rPr>
                    </m:ctrlPr>
                  </m:sup>
                </m:sSup>
                <m:ctrlPr>
                  <w:rPr>
                    <w:rFonts w:ascii="Cambria Math" w:hAnsi="Cambria Math"/>
                    <w:i/>
                    <w:iCs/>
                  </w:rPr>
                </m:ctrlPr>
              </m:den>
            </m:f>
            <m:ctrlPr>
              <w:rPr>
                <w:rFonts w:ascii="Cambria Math" w:hAnsi="Cambria Math"/>
                <w:i/>
                <w:iCs/>
              </w:rPr>
            </m:ctrlPr>
          </m:e>
        </m:nary>
        <m:r>
          <m:rPr/>
          <w:rPr>
            <w:rFonts w:ascii="Cambria Math" w:hAnsi="Cambria Math"/>
          </w:rPr>
          <m:t>÷</m:t>
        </m:r>
        <m:nary>
          <m:naryPr>
            <m:chr m:val="∑"/>
            <m:ctrlPr>
              <w:rPr>
                <w:rFonts w:ascii="Cambria Math" w:hAnsi="Cambria Math"/>
                <w:i/>
                <w:iCs/>
              </w:rPr>
            </m:ctrlPr>
          </m:naryPr>
          <m:sub>
            <m:r>
              <m:rPr/>
              <w:rPr>
                <w:rFonts w:ascii="Cambria Math" w:hAnsi="Cambria Math"/>
              </w:rPr>
              <m:t>t=0</m:t>
            </m:r>
            <m:ctrlPr>
              <w:rPr>
                <w:rFonts w:ascii="Cambria Math" w:hAnsi="Cambria Math"/>
                <w:i/>
                <w:iCs/>
              </w:rPr>
            </m:ctrlPr>
          </m:sub>
          <m:sup>
            <m:r>
              <m:rPr/>
              <w:rPr>
                <w:rFonts w:ascii="Cambria Math" w:hAnsi="Cambria Math"/>
              </w:rPr>
              <m:t>n</m:t>
            </m:r>
            <m:ctrlPr>
              <w:rPr>
                <w:rFonts w:ascii="Cambria Math" w:hAnsi="Cambria Math"/>
                <w:i/>
                <w:iCs/>
              </w:rPr>
            </m:ctrlPr>
          </m:sup>
          <m:e>
            <m:f>
              <m:fPr>
                <m:ctrlPr>
                  <w:rPr>
                    <w:rFonts w:ascii="Cambria Math" w:hAnsi="Cambria Math"/>
                    <w:i/>
                    <w:iCs/>
                  </w:rPr>
                </m:ctrlPr>
              </m:fPr>
              <m:num>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eastAsia="MS Mincho" w:cs="MS Mincho"/>
                      </w:rPr>
                      <m:t>G</m:t>
                    </m:r>
                    <m:r>
                      <m:rPr/>
                      <w:rPr>
                        <w:rFonts w:hint="eastAsia" w:ascii="Cambria Math" w:hAnsi="Cambria Math" w:eastAsia="MS Mincho" w:cs="MS Mincho"/>
                      </w:rPr>
                      <m:t>ℎ</m:t>
                    </m:r>
                    <m:ctrlPr>
                      <w:rPr>
                        <w:rFonts w:ascii="Cambria Math" w:hAnsi="Cambria Math"/>
                      </w:rPr>
                    </m:ctrlPr>
                  </m:sub>
                </m:sSub>
                <m:ctrlPr>
                  <w:rPr>
                    <w:rFonts w:ascii="Cambria Math" w:hAnsi="Cambria Math"/>
                    <w:i/>
                    <w:iCs/>
                  </w:rPr>
                </m:ctrlPr>
              </m:num>
              <m:den>
                <m:sSup>
                  <m:sSupPr>
                    <m:ctrlPr>
                      <w:rPr>
                        <w:rFonts w:ascii="Cambria Math" w:hAnsi="Cambria Math"/>
                        <w:i/>
                        <w:iCs/>
                      </w:rPr>
                    </m:ctrlPr>
                  </m:sSupPr>
                  <m:e>
                    <m:d>
                      <m:dPr>
                        <m:ctrlPr>
                          <w:rPr>
                            <w:rFonts w:ascii="Cambria Math" w:hAnsi="Cambria Math"/>
                            <w:i/>
                            <w:iCs/>
                          </w:rPr>
                        </m:ctrlPr>
                      </m:dPr>
                      <m:e>
                        <m:r>
                          <m:rPr/>
                          <w:rPr>
                            <w:rFonts w:ascii="Cambria Math" w:hAnsi="Cambria Math"/>
                          </w:rPr>
                          <m:t>1+</m:t>
                        </m:r>
                        <m:sSub>
                          <m:sSubPr>
                            <m:ctrlPr>
                              <w:rPr>
                                <w:rFonts w:ascii="Cambria Math" w:hAnsi="Cambria Math"/>
                              </w:rPr>
                            </m:ctrlPr>
                          </m:sSubPr>
                          <m:e>
                            <m:r>
                              <m:rPr/>
                              <w:rPr>
                                <w:rFonts w:ascii="Cambria Math" w:hAnsi="Cambria Math"/>
                              </w:rPr>
                              <m:t>i</m:t>
                            </m:r>
                            <m:ctrlPr>
                              <w:rPr>
                                <w:rFonts w:ascii="Cambria Math" w:hAnsi="Cambria Math"/>
                              </w:rPr>
                            </m:ctrlPr>
                          </m:e>
                          <m:sub>
                            <m:r>
                              <m:rPr/>
                              <w:rPr>
                                <w:rFonts w:ascii="Cambria Math" w:hAnsi="Cambria Math"/>
                              </w:rPr>
                              <m:t>c</m:t>
                            </m:r>
                            <m:ctrlPr>
                              <w:rPr>
                                <w:rFonts w:ascii="Cambria Math" w:hAnsi="Cambria Math"/>
                              </w:rPr>
                            </m:ctrlPr>
                          </m:sub>
                        </m:sSub>
                        <m:ctrlPr>
                          <w:rPr>
                            <w:rFonts w:ascii="Cambria Math" w:hAnsi="Cambria Math"/>
                            <w:i/>
                            <w:iCs/>
                          </w:rPr>
                        </m:ctrlPr>
                      </m:e>
                    </m:d>
                    <m:ctrlPr>
                      <w:rPr>
                        <w:rFonts w:ascii="Cambria Math" w:hAnsi="Cambria Math"/>
                        <w:i/>
                        <w:iCs/>
                      </w:rPr>
                    </m:ctrlPr>
                  </m:e>
                  <m:sup>
                    <m:r>
                      <m:rPr/>
                      <w:rPr>
                        <w:rFonts w:ascii="Cambria Math" w:hAnsi="Cambria Math"/>
                      </w:rPr>
                      <m:t>t</m:t>
                    </m:r>
                    <m:ctrlPr>
                      <w:rPr>
                        <w:rFonts w:ascii="Cambria Math" w:hAnsi="Cambria Math"/>
                        <w:i/>
                        <w:iCs/>
                      </w:rPr>
                    </m:ctrlPr>
                  </m:sup>
                </m:sSup>
                <m:ctrlPr>
                  <w:rPr>
                    <w:rFonts w:ascii="Cambria Math" w:hAnsi="Cambria Math"/>
                    <w:i/>
                    <w:iCs/>
                  </w:rPr>
                </m:ctrlPr>
              </m:den>
            </m:f>
            <m:ctrlPr>
              <w:rPr>
                <w:rFonts w:ascii="Cambria Math" w:hAnsi="Cambria Math"/>
                <w:i/>
                <w:iCs/>
              </w:rPr>
            </m:ctrlPr>
          </m:e>
        </m:nary>
      </m:oMath>
      <w:r>
        <w:rPr>
          <w:rFonts w:hint="eastAsia"/>
          <w:iCs/>
        </w:rPr>
        <w:t xml:space="preserve"> </w:t>
      </w:r>
      <w:r>
        <w:rPr>
          <w:iCs/>
        </w:rPr>
        <w:t xml:space="preserve">              </w:t>
      </w:r>
      <w:r>
        <w:rPr>
          <w:rFonts w:hint="eastAsia"/>
          <w:iCs/>
        </w:rPr>
        <w:t>（</w:t>
      </w:r>
      <w:r>
        <w:rPr>
          <w:iCs/>
        </w:rPr>
        <w:t>8</w:t>
      </w:r>
      <w:r>
        <w:rPr>
          <w:rFonts w:hint="eastAsia"/>
          <w:iCs/>
        </w:rPr>
        <w:t>）</w:t>
      </w:r>
    </w:p>
    <w:p>
      <w:pPr>
        <w:ind w:firstLine="480"/>
      </w:pPr>
      <w:r>
        <w:rPr>
          <w:rFonts w:hint="eastAsia"/>
        </w:rPr>
        <w:t>式中：</w:t>
      </w:r>
    </w:p>
    <w:p>
      <w:pPr>
        <w:pStyle w:val="92"/>
        <w:ind w:left="960" w:firstLine="480"/>
      </w:pPr>
      <m:oMath>
        <m:r>
          <m:rPr/>
          <m:t>LCOE</m:t>
        </m:r>
      </m:oMath>
      <w:r>
        <w:rPr>
          <w:rFonts w:hint="eastAsia"/>
          <w:iCs/>
        </w:rPr>
        <w:t>为</w:t>
      </w:r>
      <w:r>
        <w:t>平准化</w:t>
      </w:r>
      <w:r>
        <w:rPr>
          <w:rFonts w:hint="eastAsia"/>
        </w:rPr>
        <w:t>供给热能</w:t>
      </w:r>
      <w:r>
        <w:t>成本</w:t>
      </w:r>
      <w:r>
        <w:rPr>
          <w:rFonts w:hint="eastAsia"/>
        </w:rPr>
        <w:t>，单位</w:t>
      </w:r>
      <m:oMath>
        <m:r>
          <m:rPr>
            <m:sty m:val="p"/>
          </m:rPr>
          <w:rPr>
            <w:rFonts w:hint="eastAsia"/>
          </w:rPr>
          <m:t>元</m:t>
        </m:r>
        <m:r>
          <m:rPr/>
          <w:rPr>
            <w:rFonts w:hint="eastAsia"/>
          </w:rPr>
          <m:t>/kW·</m:t>
        </m:r>
        <m:r>
          <m:rPr/>
          <w:rPr>
            <w:rFonts w:hint="eastAsia" w:eastAsia="MS Mincho" w:cs="MS Mincho"/>
          </w:rPr>
          <m:t>ℎ</m:t>
        </m:r>
      </m:oMath>
      <w:r>
        <w:rPr>
          <w:rFonts w:hint="eastAsia"/>
        </w:rPr>
        <w:t>；</w:t>
      </w:r>
    </w:p>
    <w:p>
      <w:pPr>
        <w:pStyle w:val="92"/>
        <w:ind w:left="960" w:firstLine="480"/>
      </w:pPr>
      <m:oMath>
        <m:r>
          <m:rPr/>
          <m:t>CO</m:t>
        </m:r>
      </m:oMath>
      <w:r>
        <w:rPr>
          <w:rFonts w:hint="eastAsia"/>
        </w:rPr>
        <w:t>为现金流出量，单位万元；</w:t>
      </w:r>
    </w:p>
    <w:p>
      <w:pPr>
        <w:pStyle w:val="92"/>
        <w:ind w:left="960" w:firstLine="480"/>
      </w:pPr>
      <m:oMath>
        <m:sSub>
          <m:sSubPr/>
          <m:e>
            <m:r>
              <m:rPr/>
              <m:t>Q</m:t>
            </m:r>
          </m:e>
          <m:sub>
            <m:r>
              <m:rPr/>
              <w:rPr>
                <w:rFonts w:eastAsia="MS Mincho" w:cs="MS Mincho"/>
              </w:rPr>
              <m:t>G</m:t>
            </m:r>
            <m:r>
              <m:rPr/>
              <w:rPr>
                <w:rFonts w:hint="eastAsia" w:eastAsia="MS Mincho" w:cs="MS Mincho"/>
              </w:rPr>
              <m:t>ℎ</m:t>
            </m:r>
          </m:sub>
        </m:sSub>
      </m:oMath>
      <w:r>
        <w:rPr>
          <w:rFonts w:hint="eastAsia"/>
        </w:rPr>
        <w:t>为供热季设计累计供给热能，单位</w:t>
      </w:r>
      <m:oMath>
        <m:r>
          <m:rPr/>
          <w:rPr>
            <w:rFonts w:hint="eastAsia"/>
          </w:rPr>
          <m:t>kW·</m:t>
        </m:r>
        <m:r>
          <m:rPr/>
          <w:rPr>
            <w:rFonts w:hint="eastAsia" w:eastAsia="MS Mincho" w:cs="MS Mincho"/>
          </w:rPr>
          <m:t>ℎ</m:t>
        </m:r>
        <m:r>
          <m:rPr/>
          <m:t>/</m:t>
        </m:r>
        <m:r>
          <m:rPr/>
          <w:rPr>
            <w:rFonts w:hint="eastAsia"/>
          </w:rPr>
          <m:t>a</m:t>
        </m:r>
      </m:oMath>
      <w:r>
        <w:rPr>
          <w:rFonts w:hint="eastAsia"/>
        </w:rPr>
        <w:t>；</w:t>
      </w:r>
    </w:p>
    <w:p>
      <w:pPr>
        <w:pStyle w:val="92"/>
        <w:ind w:left="960" w:firstLine="480"/>
        <w:rPr>
          <w:rFonts w:ascii="宋体" w:hAnsi="宋体"/>
        </w:rPr>
      </w:pPr>
      <m:oMath>
        <m:sSub>
          <m:sSubPr/>
          <m:e>
            <m:r>
              <m:rPr/>
              <m:t>i</m:t>
            </m:r>
          </m:e>
          <m:sub>
            <m:r>
              <m:rPr/>
              <m:t>c</m:t>
            </m:r>
          </m:sub>
        </m:sSub>
      </m:oMath>
      <w:r>
        <w:rPr>
          <w:rFonts w:hint="eastAsia" w:ascii="宋体" w:hAnsi="宋体"/>
        </w:rPr>
        <w:t>为设定的折现率（同基准收益率），单位%；</w:t>
      </w:r>
    </w:p>
    <w:p>
      <w:pPr>
        <w:pStyle w:val="92"/>
        <w:ind w:left="960" w:firstLine="480"/>
      </w:pPr>
      <w:r>
        <w:rPr>
          <w:rFonts w:hint="eastAsia"/>
        </w:rPr>
        <w:t>n为项目计算期，单位a。</w:t>
      </w:r>
    </w:p>
    <w:sectPr>
      <w:pgSz w:w="11906" w:h="16838"/>
      <w:pgMar w:top="1440" w:right="1800" w:bottom="1440" w:left="1800" w:header="851" w:footer="737"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Cambria Math">
    <w:panose1 w:val="02040503050406030204"/>
    <w:charset w:val="00"/>
    <w:family w:val="roman"/>
    <w:pitch w:val="default"/>
    <w:sig w:usb0="A00002EF" w:usb1="420020EB" w:usb2="00000000" w:usb3="00000000" w:csb0="2000019F" w:csb1="00000000"/>
  </w:font>
  <w:font w:name="MS Gothic">
    <w:panose1 w:val="020B0609070205080204"/>
    <w:charset w:val="80"/>
    <w:family w:val="modern"/>
    <w:pitch w:val="default"/>
    <w:sig w:usb0="E00002FF" w:usb1="6AC7FDFB" w:usb2="00000012" w:usb3="00000000" w:csb0="4002009F" w:csb1="DFD70000"/>
  </w:font>
  <w:font w:name="MS Mincho">
    <w:panose1 w:val="02020609040205080304"/>
    <w:charset w:val="80"/>
    <w:family w:val="modern"/>
    <w:pitch w:val="default"/>
    <w:sig w:usb0="E00002FF" w:usb1="6AC7FDFB" w:usb2="00000012" w:usb3="00000000" w:csb0="4002009F" w:csb1="DFD7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5409036"/>
      <w:docPartObj>
        <w:docPartGallery w:val="AutoText"/>
      </w:docPartObj>
    </w:sdtPr>
    <w:sdtContent>
      <w:p>
        <w:pPr>
          <w:pStyle w:val="19"/>
          <w:ind w:firstLine="360"/>
        </w:pPr>
        <w:r>
          <w:fldChar w:fldCharType="begin"/>
        </w:r>
        <w:r>
          <w:instrText xml:space="preserve">PAGE   \* MERGEFORMAT</w:instrText>
        </w:r>
        <w:r>
          <w:fldChar w:fldCharType="separate"/>
        </w:r>
        <w:r>
          <w:rPr>
            <w:lang w:val="zh-CN"/>
          </w:rPr>
          <w:t>2</w:t>
        </w:r>
        <w: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1942757"/>
      <w:docPartObj>
        <w:docPartGallery w:val="AutoText"/>
      </w:docPartObj>
    </w:sdtPr>
    <w:sdtContent>
      <w:p>
        <w:pPr>
          <w:pStyle w:val="19"/>
          <w:ind w:firstLine="360"/>
          <w:jc w:val="center"/>
        </w:pPr>
        <w:r>
          <w:fldChar w:fldCharType="begin"/>
        </w:r>
        <w:r>
          <w:instrText xml:space="preserve">PAGE   \* MERGEFORMAT</w:instrText>
        </w:r>
        <w:r>
          <w:fldChar w:fldCharType="separate"/>
        </w:r>
        <w:r>
          <w:rPr>
            <w:lang w:val="zh-CN"/>
          </w:rPr>
          <w:t>2</w:t>
        </w:r>
        <w:r>
          <w:fldChar w:fldCharType="end"/>
        </w:r>
      </w:p>
    </w:sdtContent>
  </w:sdt>
  <w:p>
    <w:pPr>
      <w:pStyle w:val="1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480"/>
      <w:jc w:val="both"/>
      <w:rPr>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1E6E4A"/>
    <w:multiLevelType w:val="multilevel"/>
    <w:tmpl w:val="061E6E4A"/>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5"/>
      <w:lvlText w:val="%1.%2.%3.%4"/>
      <w:lvlJc w:val="left"/>
      <w:pPr>
        <w:ind w:left="864" w:hanging="864"/>
      </w:pPr>
      <w:rPr>
        <w:rFonts w:hint="eastAsia"/>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abstractNum w:abstractNumId="1">
    <w:nsid w:val="1F542052"/>
    <w:multiLevelType w:val="multilevel"/>
    <w:tmpl w:val="1F542052"/>
    <w:lvl w:ilvl="0" w:tentative="0">
      <w:start w:val="1"/>
      <w:numFmt w:val="upperLetter"/>
      <w:pStyle w:val="76"/>
      <w:suff w:val="space"/>
      <w:lvlText w:val="%1."/>
      <w:lvlJc w:val="left"/>
      <w:rPr>
        <w:rFonts w:hint="eastAsia"/>
        <w:b w:val="0"/>
        <w:bCs w:val="0"/>
        <w:i w:val="0"/>
        <w:iCs w:val="0"/>
        <w:caps w:val="0"/>
        <w:smallCaps w:val="0"/>
        <w:strike w:val="0"/>
        <w:dstrike w:val="0"/>
        <w:vanish w:val="0"/>
        <w:color w:val="auto"/>
        <w:spacing w:val="0"/>
        <w:position w:val="0"/>
        <w:u w:val="none"/>
        <w:vertAlign w:val="baseline"/>
      </w:rPr>
    </w:lvl>
    <w:lvl w:ilvl="1" w:tentative="0">
      <w:start w:val="1"/>
      <w:numFmt w:val="decimal"/>
      <w:suff w:val="space"/>
      <w:lvlText w:val="%1.%2."/>
      <w:lvlJc w:val="left"/>
      <w:pPr>
        <w:ind w:left="0" w:firstLine="0"/>
      </w:pPr>
    </w:lvl>
    <w:lvl w:ilvl="2" w:tentative="0">
      <w:start w:val="1"/>
      <w:numFmt w:val="decimal"/>
      <w:pStyle w:val="77"/>
      <w:suff w:val="space"/>
      <w:lvlText w:val="%1.%2.%3"/>
      <w:lvlJc w:val="left"/>
      <w:rPr>
        <w:rFonts w:hint="eastAsia"/>
        <w:b w:val="0"/>
        <w:bCs w:val="0"/>
        <w:i w:val="0"/>
        <w:iCs w:val="0"/>
        <w:caps w:val="0"/>
        <w:smallCaps w:val="0"/>
        <w:strike w:val="0"/>
        <w:dstrike w:val="0"/>
        <w:vanish w:val="0"/>
        <w:color w:val="auto"/>
        <w:spacing w:val="0"/>
        <w:position w:val="0"/>
        <w:u w:val="none"/>
        <w:vertAlign w:val="baseline"/>
      </w:rPr>
    </w:lvl>
    <w:lvl w:ilvl="3" w:tentative="0">
      <w:start w:val="1"/>
      <w:numFmt w:val="lowerLetter"/>
      <w:lvlText w:val="%4."/>
      <w:lvlJc w:val="left"/>
      <w:pPr>
        <w:ind w:left="1559" w:hanging="283"/>
      </w:pPr>
      <w:rPr>
        <w:rFonts w:hint="eastAsia"/>
      </w:rPr>
    </w:lvl>
    <w:lvl w:ilvl="4" w:tentative="0">
      <w:start w:val="1"/>
      <w:numFmt w:val="decimal"/>
      <w:lvlText w:val="%5."/>
      <w:lvlJc w:val="left"/>
      <w:pPr>
        <w:ind w:left="1984" w:hanging="425"/>
      </w:pPr>
      <w:rPr>
        <w:rFonts w:hint="eastAsia"/>
      </w:rPr>
    </w:lvl>
    <w:lvl w:ilvl="5" w:tentative="0">
      <w:start w:val="1"/>
      <w:numFmt w:val="lowerLetter"/>
      <w:lvlText w:val="%6."/>
      <w:lvlJc w:val="left"/>
      <w:pPr>
        <w:ind w:left="2409" w:hanging="425"/>
      </w:pPr>
      <w:rPr>
        <w:rFonts w:hint="eastAsia"/>
      </w:rPr>
    </w:lvl>
    <w:lvl w:ilvl="6" w:tentative="0">
      <w:start w:val="1"/>
      <w:numFmt w:val="lowerRoman"/>
      <w:lvlText w:val="%7."/>
      <w:lvlJc w:val="left"/>
      <w:pPr>
        <w:ind w:left="2835" w:hanging="426"/>
      </w:pPr>
      <w:rPr>
        <w:rFonts w:hint="eastAsia"/>
      </w:rPr>
    </w:lvl>
    <w:lvl w:ilvl="7" w:tentative="0">
      <w:start w:val="1"/>
      <w:numFmt w:val="lowerLetter"/>
      <w:lvlText w:val="%8."/>
      <w:lvlJc w:val="left"/>
      <w:pPr>
        <w:ind w:left="3260" w:hanging="425"/>
      </w:pPr>
      <w:rPr>
        <w:rFonts w:hint="eastAsia"/>
      </w:rPr>
    </w:lvl>
    <w:lvl w:ilvl="8" w:tentative="0">
      <w:start w:val="1"/>
      <w:numFmt w:val="lowerRoman"/>
      <w:lvlText w:val="%9."/>
      <w:lvlJc w:val="left"/>
      <w:pPr>
        <w:ind w:left="3685" w:hanging="425"/>
      </w:pPr>
      <w:rPr>
        <w:rFonts w:hint="eastAsia"/>
      </w:rPr>
    </w:lvl>
  </w:abstractNum>
  <w:abstractNum w:abstractNumId="2">
    <w:nsid w:val="3FBA09F5"/>
    <w:multiLevelType w:val="multilevel"/>
    <w:tmpl w:val="3FBA09F5"/>
    <w:lvl w:ilvl="0" w:tentative="0">
      <w:start w:val="1"/>
      <w:numFmt w:val="decimal"/>
      <w:pStyle w:val="80"/>
      <w:lvlText w:val="(%1)"/>
      <w:lvlJc w:val="left"/>
      <w:pPr>
        <w:ind w:left="6678" w:hanging="440"/>
      </w:pPr>
      <w:rPr>
        <w:rFonts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1" w:tentative="0">
      <w:start w:val="1"/>
      <w:numFmt w:val="lowerLetter"/>
      <w:lvlText w:val="%2)"/>
      <w:lvlJc w:val="left"/>
      <w:pPr>
        <w:ind w:left="3780" w:hanging="440"/>
      </w:pPr>
    </w:lvl>
    <w:lvl w:ilvl="2" w:tentative="0">
      <w:start w:val="1"/>
      <w:numFmt w:val="lowerRoman"/>
      <w:lvlText w:val="%3."/>
      <w:lvlJc w:val="right"/>
      <w:pPr>
        <w:ind w:left="4220" w:hanging="440"/>
      </w:pPr>
    </w:lvl>
    <w:lvl w:ilvl="3" w:tentative="0">
      <w:start w:val="1"/>
      <w:numFmt w:val="decimal"/>
      <w:lvlText w:val="%4."/>
      <w:lvlJc w:val="left"/>
      <w:pPr>
        <w:ind w:left="4660" w:hanging="440"/>
      </w:pPr>
    </w:lvl>
    <w:lvl w:ilvl="4" w:tentative="0">
      <w:start w:val="1"/>
      <w:numFmt w:val="lowerLetter"/>
      <w:lvlText w:val="%5)"/>
      <w:lvlJc w:val="left"/>
      <w:pPr>
        <w:ind w:left="5100" w:hanging="440"/>
      </w:pPr>
    </w:lvl>
    <w:lvl w:ilvl="5" w:tentative="0">
      <w:start w:val="1"/>
      <w:numFmt w:val="lowerRoman"/>
      <w:lvlText w:val="%6."/>
      <w:lvlJc w:val="right"/>
      <w:pPr>
        <w:ind w:left="5540" w:hanging="440"/>
      </w:pPr>
    </w:lvl>
    <w:lvl w:ilvl="6" w:tentative="0">
      <w:start w:val="1"/>
      <w:numFmt w:val="decimal"/>
      <w:lvlText w:val="%7."/>
      <w:lvlJc w:val="left"/>
      <w:pPr>
        <w:ind w:left="5980" w:hanging="440"/>
      </w:pPr>
    </w:lvl>
    <w:lvl w:ilvl="7" w:tentative="0">
      <w:start w:val="1"/>
      <w:numFmt w:val="lowerLetter"/>
      <w:lvlText w:val="%8)"/>
      <w:lvlJc w:val="left"/>
      <w:pPr>
        <w:ind w:left="6420" w:hanging="440"/>
      </w:pPr>
    </w:lvl>
    <w:lvl w:ilvl="8" w:tentative="0">
      <w:start w:val="1"/>
      <w:numFmt w:val="lowerRoman"/>
      <w:lvlText w:val="%9."/>
      <w:lvlJc w:val="right"/>
      <w:pPr>
        <w:ind w:left="6860" w:hanging="440"/>
      </w:pPr>
    </w:lvl>
  </w:abstractNum>
  <w:abstractNum w:abstractNumId="3">
    <w:nsid w:val="489E22CA"/>
    <w:multiLevelType w:val="multilevel"/>
    <w:tmpl w:val="489E22CA"/>
    <w:lvl w:ilvl="0" w:tentative="0">
      <w:start w:val="1"/>
      <w:numFmt w:val="decimal"/>
      <w:pStyle w:val="74"/>
      <w:lvlText w:val="%1."/>
      <w:lvlJc w:val="left"/>
      <w:pPr>
        <w:ind w:left="420" w:hanging="420"/>
      </w:pPr>
    </w:lvl>
    <w:lvl w:ilvl="1" w:tentative="0">
      <w:start w:val="0"/>
      <w:numFmt w:val="decimal"/>
      <w:isLgl/>
      <w:lvlText w:val="%1.%2"/>
      <w:lvlJc w:val="left"/>
      <w:pPr>
        <w:ind w:left="525" w:hanging="52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4">
    <w:nsid w:val="63D827FD"/>
    <w:multiLevelType w:val="multilevel"/>
    <w:tmpl w:val="63D827FD"/>
    <w:lvl w:ilvl="0" w:tentative="0">
      <w:start w:val="1"/>
      <w:numFmt w:val="lowerLetter"/>
      <w:pStyle w:val="75"/>
      <w:lvlText w:val="%1."/>
      <w:lvlJc w:val="left"/>
      <w:pPr>
        <w:ind w:left="1280" w:hanging="440"/>
      </w:pPr>
    </w:lvl>
    <w:lvl w:ilvl="1" w:tentative="0">
      <w:start w:val="1"/>
      <w:numFmt w:val="bullet"/>
      <w:lvlText w:val=""/>
      <w:lvlJc w:val="left"/>
      <w:pPr>
        <w:ind w:left="1720" w:hanging="440"/>
      </w:pPr>
      <w:rPr>
        <w:rFonts w:hint="default" w:ascii="Wingdings" w:hAnsi="Wingdings"/>
      </w:rPr>
    </w:lvl>
    <w:lvl w:ilvl="2" w:tentative="0">
      <w:start w:val="1"/>
      <w:numFmt w:val="lowerRoman"/>
      <w:lvlText w:val="%3."/>
      <w:lvlJc w:val="right"/>
      <w:pPr>
        <w:ind w:left="2160" w:hanging="440"/>
      </w:pPr>
    </w:lvl>
    <w:lvl w:ilvl="3" w:tentative="0">
      <w:start w:val="1"/>
      <w:numFmt w:val="decimal"/>
      <w:lvlText w:val="%4."/>
      <w:lvlJc w:val="left"/>
      <w:pPr>
        <w:ind w:left="2600" w:hanging="440"/>
      </w:pPr>
    </w:lvl>
    <w:lvl w:ilvl="4" w:tentative="0">
      <w:start w:val="1"/>
      <w:numFmt w:val="lowerLetter"/>
      <w:lvlText w:val="%5)"/>
      <w:lvlJc w:val="left"/>
      <w:pPr>
        <w:ind w:left="3040" w:hanging="440"/>
      </w:pPr>
    </w:lvl>
    <w:lvl w:ilvl="5" w:tentative="0">
      <w:start w:val="1"/>
      <w:numFmt w:val="lowerRoman"/>
      <w:lvlText w:val="%6."/>
      <w:lvlJc w:val="right"/>
      <w:pPr>
        <w:ind w:left="3480" w:hanging="440"/>
      </w:pPr>
    </w:lvl>
    <w:lvl w:ilvl="6" w:tentative="0">
      <w:start w:val="1"/>
      <w:numFmt w:val="decimal"/>
      <w:lvlText w:val="%7."/>
      <w:lvlJc w:val="left"/>
      <w:pPr>
        <w:ind w:left="3920" w:hanging="440"/>
      </w:pPr>
    </w:lvl>
    <w:lvl w:ilvl="7" w:tentative="0">
      <w:start w:val="1"/>
      <w:numFmt w:val="lowerLetter"/>
      <w:lvlText w:val="%8)"/>
      <w:lvlJc w:val="left"/>
      <w:pPr>
        <w:ind w:left="4360" w:hanging="440"/>
      </w:pPr>
    </w:lvl>
    <w:lvl w:ilvl="8" w:tentative="0">
      <w:start w:val="1"/>
      <w:numFmt w:val="lowerRoman"/>
      <w:lvlText w:val="%9."/>
      <w:lvlJc w:val="right"/>
      <w:pPr>
        <w:ind w:left="4800" w:hanging="440"/>
      </w:pPr>
    </w:lvl>
  </w:abstractNum>
  <w:abstractNum w:abstractNumId="5">
    <w:nsid w:val="68665C2E"/>
    <w:multiLevelType w:val="multilevel"/>
    <w:tmpl w:val="68665C2E"/>
    <w:lvl w:ilvl="0" w:tentative="0">
      <w:start w:val="1"/>
      <w:numFmt w:val="decimal"/>
      <w:pStyle w:val="88"/>
      <w:lvlText w:val="(%1)"/>
      <w:lvlJc w:val="left"/>
      <w:pPr>
        <w:ind w:left="6641" w:hanging="420"/>
      </w:pPr>
      <w:rPr>
        <w:rFonts w:hint="eastAsia"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14:ligatures w14:val="none"/>
        <w14:numForm w14:val="default"/>
        <w14:numSpacing w14:val="default"/>
        <w14:cntxtalts w14:val="0"/>
      </w:rPr>
    </w:lvl>
    <w:lvl w:ilvl="1" w:tentative="0">
      <w:start w:val="1"/>
      <w:numFmt w:val="lowerLetter"/>
      <w:lvlText w:val="%2)"/>
      <w:lvlJc w:val="left"/>
      <w:pPr>
        <w:ind w:left="7061" w:hanging="420"/>
      </w:pPr>
    </w:lvl>
    <w:lvl w:ilvl="2" w:tentative="0">
      <w:start w:val="1"/>
      <w:numFmt w:val="lowerRoman"/>
      <w:lvlText w:val="%3."/>
      <w:lvlJc w:val="right"/>
      <w:pPr>
        <w:ind w:left="7481" w:hanging="420"/>
      </w:pPr>
    </w:lvl>
    <w:lvl w:ilvl="3" w:tentative="0">
      <w:start w:val="1"/>
      <w:numFmt w:val="decimal"/>
      <w:lvlText w:val="%4."/>
      <w:lvlJc w:val="left"/>
      <w:pPr>
        <w:ind w:left="7901" w:hanging="420"/>
      </w:pPr>
    </w:lvl>
    <w:lvl w:ilvl="4" w:tentative="0">
      <w:start w:val="1"/>
      <w:numFmt w:val="lowerLetter"/>
      <w:lvlText w:val="%5)"/>
      <w:lvlJc w:val="left"/>
      <w:pPr>
        <w:ind w:left="8321" w:hanging="420"/>
      </w:pPr>
    </w:lvl>
    <w:lvl w:ilvl="5" w:tentative="0">
      <w:start w:val="1"/>
      <w:numFmt w:val="lowerRoman"/>
      <w:lvlText w:val="%6."/>
      <w:lvlJc w:val="right"/>
      <w:pPr>
        <w:ind w:left="8741" w:hanging="420"/>
      </w:pPr>
    </w:lvl>
    <w:lvl w:ilvl="6" w:tentative="0">
      <w:start w:val="1"/>
      <w:numFmt w:val="decimal"/>
      <w:lvlText w:val="%7."/>
      <w:lvlJc w:val="left"/>
      <w:pPr>
        <w:ind w:left="9161" w:hanging="420"/>
      </w:pPr>
    </w:lvl>
    <w:lvl w:ilvl="7" w:tentative="0">
      <w:start w:val="1"/>
      <w:numFmt w:val="lowerLetter"/>
      <w:lvlText w:val="%8)"/>
      <w:lvlJc w:val="left"/>
      <w:pPr>
        <w:ind w:left="9581" w:hanging="420"/>
      </w:pPr>
    </w:lvl>
    <w:lvl w:ilvl="8" w:tentative="0">
      <w:start w:val="1"/>
      <w:numFmt w:val="lowerRoman"/>
      <w:lvlText w:val="%9."/>
      <w:lvlJc w:val="right"/>
      <w:pPr>
        <w:ind w:left="10001" w:hanging="420"/>
      </w:pPr>
    </w:lvl>
  </w:abstractNum>
  <w:abstractNum w:abstractNumId="6">
    <w:nsid w:val="6AD70CCE"/>
    <w:multiLevelType w:val="multilevel"/>
    <w:tmpl w:val="6AD70CCE"/>
    <w:lvl w:ilvl="0" w:tentative="0">
      <w:start w:val="1"/>
      <w:numFmt w:val="decimal"/>
      <w:pStyle w:val="54"/>
      <w:lvlText w:val="%1)"/>
      <w:lvlJc w:val="left"/>
      <w:pPr>
        <w:ind w:left="860" w:hanging="440"/>
      </w:pPr>
      <w:rPr>
        <w:rFonts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0"/>
  </w:num>
  <w:num w:numId="2">
    <w:abstractNumId w:val="6"/>
  </w:num>
  <w:num w:numId="3">
    <w:abstractNumId w:val="3"/>
  </w:num>
  <w:num w:numId="4">
    <w:abstractNumId w:val="4"/>
  </w:num>
  <w:num w:numId="5">
    <w:abstractNumId w:val="1"/>
  </w:num>
  <w:num w:numId="6">
    <w:abstractNumId w:val="2"/>
  </w:num>
  <w:num w:numId="7">
    <w:abstractNumId w:val="5"/>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num>
  <w:num w:numId="10">
    <w:abstractNumId w:val="6"/>
    <w:lvlOverride w:ilvl="0">
      <w:startOverride w:val="1"/>
    </w:lvlOverride>
  </w:num>
  <w:num w:numId="11">
    <w:abstractNumId w:val="6"/>
    <w:lvlOverride w:ilvl="0">
      <w:startOverride w:val="1"/>
    </w:lvlOverride>
  </w:num>
  <w:num w:numId="12">
    <w:abstractNumId w:val="6"/>
    <w:lvlOverride w:ilvl="0">
      <w:startOverride w:val="1"/>
    </w:lvlOverride>
  </w:num>
  <w:num w:numId="13">
    <w:abstractNumId w:val="6"/>
    <w:lvlOverride w:ilvl="0">
      <w:startOverride w:val="1"/>
    </w:lvlOverride>
  </w:num>
  <w:num w:numId="14">
    <w:abstractNumId w:val="4"/>
    <w:lvlOverride w:ilvl="0">
      <w:startOverride w:val="1"/>
    </w:lvlOverride>
  </w:num>
  <w:num w:numId="15">
    <w:abstractNumId w:val="6"/>
    <w:lvlOverride w:ilvl="0">
      <w:startOverride w:val="1"/>
    </w:lvlOverride>
  </w:num>
  <w:num w:numId="16">
    <w:abstractNumId w:val="4"/>
    <w:lvlOverride w:ilvl="0">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num>
  <w:num w:numId="19">
    <w:abstractNumId w:val="6"/>
    <w:lvlOverride w:ilvl="0">
      <w:startOverride w:val="1"/>
    </w:lvlOverride>
  </w:num>
  <w:num w:numId="20">
    <w:abstractNumId w:val="4"/>
    <w:lvlOverride w:ilvl="0">
      <w:startOverride w:val="1"/>
    </w:lvlOverride>
  </w:num>
  <w:num w:numId="21">
    <w:abstractNumId w:val="6"/>
    <w:lvlOverride w:ilvl="0">
      <w:startOverride w:val="1"/>
    </w:lvlOverride>
  </w:num>
  <w:num w:numId="22">
    <w:abstractNumId w:val="4"/>
    <w:lvlOverride w:ilvl="0">
      <w:startOverride w:val="1"/>
    </w:lvlOverride>
  </w:num>
  <w:num w:numId="23">
    <w:abstractNumId w:val="6"/>
    <w:lvlOverride w:ilvl="0">
      <w:startOverride w:val="1"/>
    </w:lvlOverride>
  </w:num>
  <w:num w:numId="24">
    <w:abstractNumId w:val="4"/>
    <w:lvlOverride w:ilvl="0">
      <w:startOverride w:val="1"/>
    </w:lvlOverride>
  </w:num>
  <w:num w:numId="25">
    <w:abstractNumId w:val="6"/>
    <w:lvlOverride w:ilvl="0">
      <w:startOverride w:val="1"/>
    </w:lvlOverride>
  </w:num>
  <w:num w:numId="26">
    <w:abstractNumId w:val="4"/>
    <w:lvlOverride w:ilvl="0">
      <w:startOverride w:val="1"/>
    </w:lvlOverride>
  </w:num>
  <w:num w:numId="27">
    <w:abstractNumId w:val="4"/>
    <w:lvlOverride w:ilvl="0">
      <w:startOverride w:val="1"/>
    </w:lvlOverride>
  </w:num>
  <w:num w:numId="28">
    <w:abstractNumId w:val="6"/>
    <w:lvlOverride w:ilvl="0">
      <w:startOverride w:val="1"/>
    </w:lvlOverride>
  </w:num>
  <w:num w:numId="29">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C4F"/>
    <w:rsid w:val="00000F19"/>
    <w:rsid w:val="000017CE"/>
    <w:rsid w:val="00003245"/>
    <w:rsid w:val="00003A5F"/>
    <w:rsid w:val="00003BBA"/>
    <w:rsid w:val="00004D01"/>
    <w:rsid w:val="00004D3F"/>
    <w:rsid w:val="00006612"/>
    <w:rsid w:val="0000705E"/>
    <w:rsid w:val="00007C18"/>
    <w:rsid w:val="00007C68"/>
    <w:rsid w:val="00007CD1"/>
    <w:rsid w:val="00010809"/>
    <w:rsid w:val="0001227E"/>
    <w:rsid w:val="000142A1"/>
    <w:rsid w:val="00014811"/>
    <w:rsid w:val="00015FDC"/>
    <w:rsid w:val="000166CD"/>
    <w:rsid w:val="0001692F"/>
    <w:rsid w:val="00017A74"/>
    <w:rsid w:val="0002000F"/>
    <w:rsid w:val="000200DF"/>
    <w:rsid w:val="00020C4A"/>
    <w:rsid w:val="00021290"/>
    <w:rsid w:val="00021825"/>
    <w:rsid w:val="00021F59"/>
    <w:rsid w:val="000222B6"/>
    <w:rsid w:val="000229CA"/>
    <w:rsid w:val="000229DA"/>
    <w:rsid w:val="00022F77"/>
    <w:rsid w:val="00023554"/>
    <w:rsid w:val="0002362F"/>
    <w:rsid w:val="00024712"/>
    <w:rsid w:val="000248DD"/>
    <w:rsid w:val="00024AE8"/>
    <w:rsid w:val="00024D66"/>
    <w:rsid w:val="000252F6"/>
    <w:rsid w:val="0002624A"/>
    <w:rsid w:val="000312FD"/>
    <w:rsid w:val="00031AC8"/>
    <w:rsid w:val="00032337"/>
    <w:rsid w:val="00033900"/>
    <w:rsid w:val="00033B4B"/>
    <w:rsid w:val="000347F2"/>
    <w:rsid w:val="000349C3"/>
    <w:rsid w:val="00034A7F"/>
    <w:rsid w:val="00034B23"/>
    <w:rsid w:val="00034F59"/>
    <w:rsid w:val="00036760"/>
    <w:rsid w:val="00036856"/>
    <w:rsid w:val="0003706A"/>
    <w:rsid w:val="000374DD"/>
    <w:rsid w:val="00037A54"/>
    <w:rsid w:val="00040F13"/>
    <w:rsid w:val="00040F8F"/>
    <w:rsid w:val="00040FBC"/>
    <w:rsid w:val="00041862"/>
    <w:rsid w:val="00041F0D"/>
    <w:rsid w:val="000433C8"/>
    <w:rsid w:val="000437ED"/>
    <w:rsid w:val="00044682"/>
    <w:rsid w:val="00044902"/>
    <w:rsid w:val="00044CA1"/>
    <w:rsid w:val="00044D62"/>
    <w:rsid w:val="00045B57"/>
    <w:rsid w:val="00046308"/>
    <w:rsid w:val="00046369"/>
    <w:rsid w:val="000463C0"/>
    <w:rsid w:val="00046A07"/>
    <w:rsid w:val="0004768C"/>
    <w:rsid w:val="00047893"/>
    <w:rsid w:val="000511BD"/>
    <w:rsid w:val="000518EF"/>
    <w:rsid w:val="000519F6"/>
    <w:rsid w:val="000539AE"/>
    <w:rsid w:val="00054500"/>
    <w:rsid w:val="000545F9"/>
    <w:rsid w:val="0005604C"/>
    <w:rsid w:val="0005656B"/>
    <w:rsid w:val="00056973"/>
    <w:rsid w:val="000571E0"/>
    <w:rsid w:val="000606CD"/>
    <w:rsid w:val="000607F6"/>
    <w:rsid w:val="00062A38"/>
    <w:rsid w:val="00063F43"/>
    <w:rsid w:val="000641CA"/>
    <w:rsid w:val="000668E3"/>
    <w:rsid w:val="0006732D"/>
    <w:rsid w:val="00067628"/>
    <w:rsid w:val="00067DA9"/>
    <w:rsid w:val="00071009"/>
    <w:rsid w:val="00071010"/>
    <w:rsid w:val="00071539"/>
    <w:rsid w:val="00071884"/>
    <w:rsid w:val="0007200B"/>
    <w:rsid w:val="00072327"/>
    <w:rsid w:val="00073525"/>
    <w:rsid w:val="00073730"/>
    <w:rsid w:val="0007382D"/>
    <w:rsid w:val="0007389F"/>
    <w:rsid w:val="00073E28"/>
    <w:rsid w:val="00075686"/>
    <w:rsid w:val="00075B7B"/>
    <w:rsid w:val="00077726"/>
    <w:rsid w:val="00080E30"/>
    <w:rsid w:val="00081677"/>
    <w:rsid w:val="00082EE3"/>
    <w:rsid w:val="0008390E"/>
    <w:rsid w:val="00083D82"/>
    <w:rsid w:val="0008527D"/>
    <w:rsid w:val="0008572B"/>
    <w:rsid w:val="000861AC"/>
    <w:rsid w:val="0008624A"/>
    <w:rsid w:val="000869C3"/>
    <w:rsid w:val="0009139F"/>
    <w:rsid w:val="0009227F"/>
    <w:rsid w:val="00092296"/>
    <w:rsid w:val="000924CD"/>
    <w:rsid w:val="000927D2"/>
    <w:rsid w:val="000934F4"/>
    <w:rsid w:val="000937F8"/>
    <w:rsid w:val="000942C1"/>
    <w:rsid w:val="000942FB"/>
    <w:rsid w:val="000950FB"/>
    <w:rsid w:val="0009516A"/>
    <w:rsid w:val="00095FCE"/>
    <w:rsid w:val="000A000A"/>
    <w:rsid w:val="000A0342"/>
    <w:rsid w:val="000A133A"/>
    <w:rsid w:val="000A20C8"/>
    <w:rsid w:val="000A2B11"/>
    <w:rsid w:val="000A2E83"/>
    <w:rsid w:val="000A2FE6"/>
    <w:rsid w:val="000A33A3"/>
    <w:rsid w:val="000A3713"/>
    <w:rsid w:val="000A4053"/>
    <w:rsid w:val="000A5818"/>
    <w:rsid w:val="000A5D32"/>
    <w:rsid w:val="000A638C"/>
    <w:rsid w:val="000A69B5"/>
    <w:rsid w:val="000A7629"/>
    <w:rsid w:val="000A7D9D"/>
    <w:rsid w:val="000B0FBD"/>
    <w:rsid w:val="000B14F8"/>
    <w:rsid w:val="000B1617"/>
    <w:rsid w:val="000B25B6"/>
    <w:rsid w:val="000B2963"/>
    <w:rsid w:val="000B2AA0"/>
    <w:rsid w:val="000B2D9B"/>
    <w:rsid w:val="000B2DFC"/>
    <w:rsid w:val="000B3079"/>
    <w:rsid w:val="000B3C24"/>
    <w:rsid w:val="000B4FEE"/>
    <w:rsid w:val="000B74B9"/>
    <w:rsid w:val="000C1279"/>
    <w:rsid w:val="000C2021"/>
    <w:rsid w:val="000C25DC"/>
    <w:rsid w:val="000C2DEE"/>
    <w:rsid w:val="000C426B"/>
    <w:rsid w:val="000C4593"/>
    <w:rsid w:val="000C4866"/>
    <w:rsid w:val="000C48B3"/>
    <w:rsid w:val="000C659B"/>
    <w:rsid w:val="000C6610"/>
    <w:rsid w:val="000C6D77"/>
    <w:rsid w:val="000C6FE5"/>
    <w:rsid w:val="000C74F3"/>
    <w:rsid w:val="000C7AC7"/>
    <w:rsid w:val="000C7CD9"/>
    <w:rsid w:val="000C7E47"/>
    <w:rsid w:val="000D1E61"/>
    <w:rsid w:val="000D219B"/>
    <w:rsid w:val="000D31E3"/>
    <w:rsid w:val="000D43F0"/>
    <w:rsid w:val="000D4C1A"/>
    <w:rsid w:val="000D4F64"/>
    <w:rsid w:val="000D4F80"/>
    <w:rsid w:val="000D6224"/>
    <w:rsid w:val="000D65F2"/>
    <w:rsid w:val="000D6600"/>
    <w:rsid w:val="000D6A08"/>
    <w:rsid w:val="000D7538"/>
    <w:rsid w:val="000E044A"/>
    <w:rsid w:val="000E16D6"/>
    <w:rsid w:val="000E1DB3"/>
    <w:rsid w:val="000E2378"/>
    <w:rsid w:val="000E410D"/>
    <w:rsid w:val="000E6DC6"/>
    <w:rsid w:val="000F07D4"/>
    <w:rsid w:val="000F0C65"/>
    <w:rsid w:val="000F1A2C"/>
    <w:rsid w:val="000F2D07"/>
    <w:rsid w:val="000F36B7"/>
    <w:rsid w:val="000F384F"/>
    <w:rsid w:val="000F3F67"/>
    <w:rsid w:val="000F4643"/>
    <w:rsid w:val="000F46B0"/>
    <w:rsid w:val="000F4DC6"/>
    <w:rsid w:val="000F6504"/>
    <w:rsid w:val="000F6B2C"/>
    <w:rsid w:val="000F6BB7"/>
    <w:rsid w:val="000F7211"/>
    <w:rsid w:val="0010066F"/>
    <w:rsid w:val="00100941"/>
    <w:rsid w:val="00100B2C"/>
    <w:rsid w:val="00100C72"/>
    <w:rsid w:val="00102471"/>
    <w:rsid w:val="00102ABD"/>
    <w:rsid w:val="00102C68"/>
    <w:rsid w:val="00103491"/>
    <w:rsid w:val="00103644"/>
    <w:rsid w:val="0010380D"/>
    <w:rsid w:val="00103BFC"/>
    <w:rsid w:val="00103E19"/>
    <w:rsid w:val="00103F01"/>
    <w:rsid w:val="001042A4"/>
    <w:rsid w:val="0010444E"/>
    <w:rsid w:val="00104F60"/>
    <w:rsid w:val="00105D9A"/>
    <w:rsid w:val="00105E16"/>
    <w:rsid w:val="00106502"/>
    <w:rsid w:val="001070B1"/>
    <w:rsid w:val="001114E4"/>
    <w:rsid w:val="001124F0"/>
    <w:rsid w:val="0011261C"/>
    <w:rsid w:val="001134EF"/>
    <w:rsid w:val="001136B3"/>
    <w:rsid w:val="00113AD0"/>
    <w:rsid w:val="00114D58"/>
    <w:rsid w:val="00114F22"/>
    <w:rsid w:val="001205A0"/>
    <w:rsid w:val="001206F2"/>
    <w:rsid w:val="001208FD"/>
    <w:rsid w:val="00120DAF"/>
    <w:rsid w:val="001215C6"/>
    <w:rsid w:val="00121E2F"/>
    <w:rsid w:val="00122EB0"/>
    <w:rsid w:val="001235BC"/>
    <w:rsid w:val="00124172"/>
    <w:rsid w:val="001243C2"/>
    <w:rsid w:val="001246BE"/>
    <w:rsid w:val="00124BBA"/>
    <w:rsid w:val="001253FA"/>
    <w:rsid w:val="00126722"/>
    <w:rsid w:val="001267C6"/>
    <w:rsid w:val="00126DD9"/>
    <w:rsid w:val="00127508"/>
    <w:rsid w:val="001304E8"/>
    <w:rsid w:val="00130FB1"/>
    <w:rsid w:val="00131BF4"/>
    <w:rsid w:val="00131CC7"/>
    <w:rsid w:val="001321AE"/>
    <w:rsid w:val="0013252B"/>
    <w:rsid w:val="00133188"/>
    <w:rsid w:val="00133786"/>
    <w:rsid w:val="00135707"/>
    <w:rsid w:val="00136BF1"/>
    <w:rsid w:val="0013727D"/>
    <w:rsid w:val="001414E1"/>
    <w:rsid w:val="001415F5"/>
    <w:rsid w:val="0014181A"/>
    <w:rsid w:val="00141EBC"/>
    <w:rsid w:val="00142F6D"/>
    <w:rsid w:val="00143BE5"/>
    <w:rsid w:val="00144F53"/>
    <w:rsid w:val="001458ED"/>
    <w:rsid w:val="00146712"/>
    <w:rsid w:val="00147816"/>
    <w:rsid w:val="00147897"/>
    <w:rsid w:val="00147A17"/>
    <w:rsid w:val="00150567"/>
    <w:rsid w:val="00150AAD"/>
    <w:rsid w:val="00150C50"/>
    <w:rsid w:val="00150CAA"/>
    <w:rsid w:val="0015115E"/>
    <w:rsid w:val="00151313"/>
    <w:rsid w:val="0015375A"/>
    <w:rsid w:val="00153906"/>
    <w:rsid w:val="001545F2"/>
    <w:rsid w:val="00154BE3"/>
    <w:rsid w:val="00154E97"/>
    <w:rsid w:val="00155580"/>
    <w:rsid w:val="001555A4"/>
    <w:rsid w:val="00155C49"/>
    <w:rsid w:val="001565A6"/>
    <w:rsid w:val="00160A1B"/>
    <w:rsid w:val="001619A3"/>
    <w:rsid w:val="00161C93"/>
    <w:rsid w:val="00162115"/>
    <w:rsid w:val="00162A4A"/>
    <w:rsid w:val="00163360"/>
    <w:rsid w:val="00163F33"/>
    <w:rsid w:val="001643D0"/>
    <w:rsid w:val="00165072"/>
    <w:rsid w:val="00165C05"/>
    <w:rsid w:val="001667FC"/>
    <w:rsid w:val="0016790D"/>
    <w:rsid w:val="00167F36"/>
    <w:rsid w:val="001713FA"/>
    <w:rsid w:val="0017206D"/>
    <w:rsid w:val="0017266C"/>
    <w:rsid w:val="00172C77"/>
    <w:rsid w:val="00172E16"/>
    <w:rsid w:val="001732C4"/>
    <w:rsid w:val="00173B77"/>
    <w:rsid w:val="00173B86"/>
    <w:rsid w:val="00173F20"/>
    <w:rsid w:val="00173FD5"/>
    <w:rsid w:val="00174689"/>
    <w:rsid w:val="00176336"/>
    <w:rsid w:val="0017677E"/>
    <w:rsid w:val="00176FCC"/>
    <w:rsid w:val="001836E7"/>
    <w:rsid w:val="00184CBE"/>
    <w:rsid w:val="00185378"/>
    <w:rsid w:val="001858BB"/>
    <w:rsid w:val="00185EB1"/>
    <w:rsid w:val="001877D1"/>
    <w:rsid w:val="00187A01"/>
    <w:rsid w:val="00187E24"/>
    <w:rsid w:val="001905BD"/>
    <w:rsid w:val="0019197F"/>
    <w:rsid w:val="00192B6F"/>
    <w:rsid w:val="00192E62"/>
    <w:rsid w:val="00193740"/>
    <w:rsid w:val="0019427A"/>
    <w:rsid w:val="00195290"/>
    <w:rsid w:val="001954C5"/>
    <w:rsid w:val="0019763F"/>
    <w:rsid w:val="00197844"/>
    <w:rsid w:val="00197C34"/>
    <w:rsid w:val="001A01AE"/>
    <w:rsid w:val="001A056E"/>
    <w:rsid w:val="001A076F"/>
    <w:rsid w:val="001A0DF5"/>
    <w:rsid w:val="001A0E6D"/>
    <w:rsid w:val="001A1253"/>
    <w:rsid w:val="001A18AA"/>
    <w:rsid w:val="001A264D"/>
    <w:rsid w:val="001A274A"/>
    <w:rsid w:val="001A28EE"/>
    <w:rsid w:val="001A29D8"/>
    <w:rsid w:val="001A329D"/>
    <w:rsid w:val="001A39DC"/>
    <w:rsid w:val="001A4138"/>
    <w:rsid w:val="001A4280"/>
    <w:rsid w:val="001A434F"/>
    <w:rsid w:val="001A4475"/>
    <w:rsid w:val="001A44CA"/>
    <w:rsid w:val="001A5297"/>
    <w:rsid w:val="001A5677"/>
    <w:rsid w:val="001A5811"/>
    <w:rsid w:val="001A5FE2"/>
    <w:rsid w:val="001B033F"/>
    <w:rsid w:val="001B081F"/>
    <w:rsid w:val="001B0A0D"/>
    <w:rsid w:val="001B0EFE"/>
    <w:rsid w:val="001B28DD"/>
    <w:rsid w:val="001B3978"/>
    <w:rsid w:val="001B44F4"/>
    <w:rsid w:val="001B4B4C"/>
    <w:rsid w:val="001B4D62"/>
    <w:rsid w:val="001B5CAE"/>
    <w:rsid w:val="001B69E4"/>
    <w:rsid w:val="001B7256"/>
    <w:rsid w:val="001C0F10"/>
    <w:rsid w:val="001C1435"/>
    <w:rsid w:val="001C14FB"/>
    <w:rsid w:val="001C218F"/>
    <w:rsid w:val="001C2A65"/>
    <w:rsid w:val="001C3405"/>
    <w:rsid w:val="001C46E1"/>
    <w:rsid w:val="001C4D22"/>
    <w:rsid w:val="001C4D2D"/>
    <w:rsid w:val="001C4FFD"/>
    <w:rsid w:val="001C51AF"/>
    <w:rsid w:val="001C5A12"/>
    <w:rsid w:val="001C5CA9"/>
    <w:rsid w:val="001C6241"/>
    <w:rsid w:val="001C6588"/>
    <w:rsid w:val="001C6C70"/>
    <w:rsid w:val="001D09DD"/>
    <w:rsid w:val="001D15FE"/>
    <w:rsid w:val="001D16C1"/>
    <w:rsid w:val="001D3AB3"/>
    <w:rsid w:val="001D3ABC"/>
    <w:rsid w:val="001D52D2"/>
    <w:rsid w:val="001D54B4"/>
    <w:rsid w:val="001D579F"/>
    <w:rsid w:val="001D6488"/>
    <w:rsid w:val="001D722D"/>
    <w:rsid w:val="001E09D4"/>
    <w:rsid w:val="001E0E3E"/>
    <w:rsid w:val="001E2818"/>
    <w:rsid w:val="001E437B"/>
    <w:rsid w:val="001E4C54"/>
    <w:rsid w:val="001E5A00"/>
    <w:rsid w:val="001E61FC"/>
    <w:rsid w:val="001E7B78"/>
    <w:rsid w:val="001F12B5"/>
    <w:rsid w:val="001F23E3"/>
    <w:rsid w:val="001F2426"/>
    <w:rsid w:val="001F3ADF"/>
    <w:rsid w:val="001F3B2D"/>
    <w:rsid w:val="001F4C83"/>
    <w:rsid w:val="001F4D39"/>
    <w:rsid w:val="001F4E25"/>
    <w:rsid w:val="001F50F5"/>
    <w:rsid w:val="001F539F"/>
    <w:rsid w:val="001F69F2"/>
    <w:rsid w:val="001F7B53"/>
    <w:rsid w:val="00200395"/>
    <w:rsid w:val="00200509"/>
    <w:rsid w:val="002008A4"/>
    <w:rsid w:val="00200ABA"/>
    <w:rsid w:val="00200C33"/>
    <w:rsid w:val="00201174"/>
    <w:rsid w:val="002019F2"/>
    <w:rsid w:val="00201B9A"/>
    <w:rsid w:val="00202480"/>
    <w:rsid w:val="00203E86"/>
    <w:rsid w:val="002056FA"/>
    <w:rsid w:val="0020581F"/>
    <w:rsid w:val="00205B86"/>
    <w:rsid w:val="00207C60"/>
    <w:rsid w:val="002104C8"/>
    <w:rsid w:val="002117E9"/>
    <w:rsid w:val="00211C07"/>
    <w:rsid w:val="00211EC3"/>
    <w:rsid w:val="002120EC"/>
    <w:rsid w:val="0021268B"/>
    <w:rsid w:val="00212C34"/>
    <w:rsid w:val="00213950"/>
    <w:rsid w:val="0022049F"/>
    <w:rsid w:val="00223FDB"/>
    <w:rsid w:val="002243AC"/>
    <w:rsid w:val="002252FB"/>
    <w:rsid w:val="00225A46"/>
    <w:rsid w:val="002262E7"/>
    <w:rsid w:val="00231199"/>
    <w:rsid w:val="00233341"/>
    <w:rsid w:val="00233667"/>
    <w:rsid w:val="00233690"/>
    <w:rsid w:val="00233C2A"/>
    <w:rsid w:val="0023497C"/>
    <w:rsid w:val="002352F7"/>
    <w:rsid w:val="002358BA"/>
    <w:rsid w:val="00236C4F"/>
    <w:rsid w:val="00240569"/>
    <w:rsid w:val="002413A1"/>
    <w:rsid w:val="00241964"/>
    <w:rsid w:val="002436EA"/>
    <w:rsid w:val="00243862"/>
    <w:rsid w:val="0024464F"/>
    <w:rsid w:val="00245799"/>
    <w:rsid w:val="00245CE5"/>
    <w:rsid w:val="00245F41"/>
    <w:rsid w:val="00247066"/>
    <w:rsid w:val="00247184"/>
    <w:rsid w:val="0024768A"/>
    <w:rsid w:val="00247796"/>
    <w:rsid w:val="0025039B"/>
    <w:rsid w:val="002504B1"/>
    <w:rsid w:val="00250746"/>
    <w:rsid w:val="00252364"/>
    <w:rsid w:val="002528E7"/>
    <w:rsid w:val="002530A8"/>
    <w:rsid w:val="002530B9"/>
    <w:rsid w:val="002558DE"/>
    <w:rsid w:val="0025670C"/>
    <w:rsid w:val="002569E0"/>
    <w:rsid w:val="00256B79"/>
    <w:rsid w:val="0025711E"/>
    <w:rsid w:val="00257605"/>
    <w:rsid w:val="00257A9A"/>
    <w:rsid w:val="00257EB4"/>
    <w:rsid w:val="00262E3C"/>
    <w:rsid w:val="0026450C"/>
    <w:rsid w:val="00264A61"/>
    <w:rsid w:val="00266778"/>
    <w:rsid w:val="0026718C"/>
    <w:rsid w:val="002671FF"/>
    <w:rsid w:val="00270566"/>
    <w:rsid w:val="00271888"/>
    <w:rsid w:val="00271D78"/>
    <w:rsid w:val="00271E03"/>
    <w:rsid w:val="002722AB"/>
    <w:rsid w:val="002723C0"/>
    <w:rsid w:val="0027362F"/>
    <w:rsid w:val="002737E0"/>
    <w:rsid w:val="00273DFC"/>
    <w:rsid w:val="00273FF5"/>
    <w:rsid w:val="00275301"/>
    <w:rsid w:val="00275AC7"/>
    <w:rsid w:val="002769B3"/>
    <w:rsid w:val="0028075E"/>
    <w:rsid w:val="00280AF9"/>
    <w:rsid w:val="00280EA4"/>
    <w:rsid w:val="002810BC"/>
    <w:rsid w:val="00281B69"/>
    <w:rsid w:val="00281EB5"/>
    <w:rsid w:val="00283703"/>
    <w:rsid w:val="00286D2E"/>
    <w:rsid w:val="00287528"/>
    <w:rsid w:val="002876B1"/>
    <w:rsid w:val="002900A8"/>
    <w:rsid w:val="002915F4"/>
    <w:rsid w:val="00291C1F"/>
    <w:rsid w:val="00292013"/>
    <w:rsid w:val="00292073"/>
    <w:rsid w:val="0029351D"/>
    <w:rsid w:val="00294A92"/>
    <w:rsid w:val="00296D4A"/>
    <w:rsid w:val="00297EA3"/>
    <w:rsid w:val="002A028C"/>
    <w:rsid w:val="002A0752"/>
    <w:rsid w:val="002A0785"/>
    <w:rsid w:val="002A09E4"/>
    <w:rsid w:val="002A1D04"/>
    <w:rsid w:val="002A1D79"/>
    <w:rsid w:val="002A204D"/>
    <w:rsid w:val="002A2057"/>
    <w:rsid w:val="002A2284"/>
    <w:rsid w:val="002A3037"/>
    <w:rsid w:val="002A32FD"/>
    <w:rsid w:val="002A391F"/>
    <w:rsid w:val="002A3E0E"/>
    <w:rsid w:val="002A4635"/>
    <w:rsid w:val="002A47E1"/>
    <w:rsid w:val="002A5461"/>
    <w:rsid w:val="002A62AC"/>
    <w:rsid w:val="002A72BA"/>
    <w:rsid w:val="002A7702"/>
    <w:rsid w:val="002A7A33"/>
    <w:rsid w:val="002B0B21"/>
    <w:rsid w:val="002B1000"/>
    <w:rsid w:val="002B1244"/>
    <w:rsid w:val="002B1E92"/>
    <w:rsid w:val="002B1EE3"/>
    <w:rsid w:val="002B24D1"/>
    <w:rsid w:val="002B2F1C"/>
    <w:rsid w:val="002B41E7"/>
    <w:rsid w:val="002B42FA"/>
    <w:rsid w:val="002B629F"/>
    <w:rsid w:val="002B71AF"/>
    <w:rsid w:val="002B79AC"/>
    <w:rsid w:val="002B7C9D"/>
    <w:rsid w:val="002C1008"/>
    <w:rsid w:val="002C16F1"/>
    <w:rsid w:val="002C17E3"/>
    <w:rsid w:val="002C1E67"/>
    <w:rsid w:val="002C25F6"/>
    <w:rsid w:val="002C3FAB"/>
    <w:rsid w:val="002C50C2"/>
    <w:rsid w:val="002C672D"/>
    <w:rsid w:val="002C699B"/>
    <w:rsid w:val="002C7DEA"/>
    <w:rsid w:val="002D08B7"/>
    <w:rsid w:val="002D110E"/>
    <w:rsid w:val="002D1D18"/>
    <w:rsid w:val="002D4404"/>
    <w:rsid w:val="002D4515"/>
    <w:rsid w:val="002D5362"/>
    <w:rsid w:val="002D5656"/>
    <w:rsid w:val="002D57B1"/>
    <w:rsid w:val="002D6CC7"/>
    <w:rsid w:val="002D7331"/>
    <w:rsid w:val="002D77C6"/>
    <w:rsid w:val="002D7ED4"/>
    <w:rsid w:val="002E1672"/>
    <w:rsid w:val="002E29A4"/>
    <w:rsid w:val="002E386B"/>
    <w:rsid w:val="002E3878"/>
    <w:rsid w:val="002E48A4"/>
    <w:rsid w:val="002E4F0F"/>
    <w:rsid w:val="002E4F54"/>
    <w:rsid w:val="002E52A2"/>
    <w:rsid w:val="002E559B"/>
    <w:rsid w:val="002E58E8"/>
    <w:rsid w:val="002E5FC9"/>
    <w:rsid w:val="002E6220"/>
    <w:rsid w:val="002E6A19"/>
    <w:rsid w:val="002E704B"/>
    <w:rsid w:val="002E7144"/>
    <w:rsid w:val="002E73A4"/>
    <w:rsid w:val="002F00DD"/>
    <w:rsid w:val="002F02C3"/>
    <w:rsid w:val="002F065A"/>
    <w:rsid w:val="002F067B"/>
    <w:rsid w:val="002F0854"/>
    <w:rsid w:val="002F1AC1"/>
    <w:rsid w:val="002F1FDA"/>
    <w:rsid w:val="002F2BC4"/>
    <w:rsid w:val="002F32B0"/>
    <w:rsid w:val="002F5212"/>
    <w:rsid w:val="002F5832"/>
    <w:rsid w:val="002F5FDD"/>
    <w:rsid w:val="002F6ADE"/>
    <w:rsid w:val="002F6FCA"/>
    <w:rsid w:val="002F777B"/>
    <w:rsid w:val="003012E2"/>
    <w:rsid w:val="0030148A"/>
    <w:rsid w:val="0030417C"/>
    <w:rsid w:val="00305694"/>
    <w:rsid w:val="00305A4E"/>
    <w:rsid w:val="00305AE4"/>
    <w:rsid w:val="00305DD8"/>
    <w:rsid w:val="00306517"/>
    <w:rsid w:val="00307059"/>
    <w:rsid w:val="0031036A"/>
    <w:rsid w:val="00311522"/>
    <w:rsid w:val="00311DB6"/>
    <w:rsid w:val="003125F7"/>
    <w:rsid w:val="0031358C"/>
    <w:rsid w:val="003135AB"/>
    <w:rsid w:val="003144C0"/>
    <w:rsid w:val="00314B4A"/>
    <w:rsid w:val="00314D80"/>
    <w:rsid w:val="0031553E"/>
    <w:rsid w:val="003156CE"/>
    <w:rsid w:val="003159A4"/>
    <w:rsid w:val="00315A8A"/>
    <w:rsid w:val="0031654E"/>
    <w:rsid w:val="0031684E"/>
    <w:rsid w:val="00316C80"/>
    <w:rsid w:val="00320B69"/>
    <w:rsid w:val="00320C16"/>
    <w:rsid w:val="003224BA"/>
    <w:rsid w:val="00322F6D"/>
    <w:rsid w:val="003231D5"/>
    <w:rsid w:val="0032469E"/>
    <w:rsid w:val="00324D7E"/>
    <w:rsid w:val="00325C54"/>
    <w:rsid w:val="00325FC7"/>
    <w:rsid w:val="00326184"/>
    <w:rsid w:val="003279E9"/>
    <w:rsid w:val="00327EB7"/>
    <w:rsid w:val="00327FA0"/>
    <w:rsid w:val="00332BFA"/>
    <w:rsid w:val="00333EFD"/>
    <w:rsid w:val="00334F2B"/>
    <w:rsid w:val="00337641"/>
    <w:rsid w:val="0033780D"/>
    <w:rsid w:val="0033799D"/>
    <w:rsid w:val="00340C12"/>
    <w:rsid w:val="00340C6D"/>
    <w:rsid w:val="0034131A"/>
    <w:rsid w:val="00341CB4"/>
    <w:rsid w:val="0034289A"/>
    <w:rsid w:val="00343468"/>
    <w:rsid w:val="00345179"/>
    <w:rsid w:val="0034517B"/>
    <w:rsid w:val="00345728"/>
    <w:rsid w:val="003464EE"/>
    <w:rsid w:val="00346693"/>
    <w:rsid w:val="00346AA5"/>
    <w:rsid w:val="00346B89"/>
    <w:rsid w:val="00350028"/>
    <w:rsid w:val="00350050"/>
    <w:rsid w:val="003505EF"/>
    <w:rsid w:val="00350A25"/>
    <w:rsid w:val="00350AD1"/>
    <w:rsid w:val="00350C6A"/>
    <w:rsid w:val="00351D7A"/>
    <w:rsid w:val="00352457"/>
    <w:rsid w:val="003528EE"/>
    <w:rsid w:val="00353267"/>
    <w:rsid w:val="00353599"/>
    <w:rsid w:val="00354238"/>
    <w:rsid w:val="0035676F"/>
    <w:rsid w:val="003576D2"/>
    <w:rsid w:val="00357EB0"/>
    <w:rsid w:val="00357F6E"/>
    <w:rsid w:val="0036046E"/>
    <w:rsid w:val="0036129A"/>
    <w:rsid w:val="003612FF"/>
    <w:rsid w:val="003617C4"/>
    <w:rsid w:val="00361FD5"/>
    <w:rsid w:val="003624BF"/>
    <w:rsid w:val="00362F22"/>
    <w:rsid w:val="00363CD4"/>
    <w:rsid w:val="00363D7E"/>
    <w:rsid w:val="003652EE"/>
    <w:rsid w:val="00365C4A"/>
    <w:rsid w:val="00366CE5"/>
    <w:rsid w:val="00366E2C"/>
    <w:rsid w:val="003670F0"/>
    <w:rsid w:val="00367641"/>
    <w:rsid w:val="0036792C"/>
    <w:rsid w:val="00367AFC"/>
    <w:rsid w:val="00367D6C"/>
    <w:rsid w:val="00367DA2"/>
    <w:rsid w:val="003711E2"/>
    <w:rsid w:val="003725FC"/>
    <w:rsid w:val="00372C18"/>
    <w:rsid w:val="00372DD0"/>
    <w:rsid w:val="00372FB9"/>
    <w:rsid w:val="00373CBC"/>
    <w:rsid w:val="00373CDB"/>
    <w:rsid w:val="00373CE3"/>
    <w:rsid w:val="00374ADA"/>
    <w:rsid w:val="00375024"/>
    <w:rsid w:val="00376B37"/>
    <w:rsid w:val="0037707A"/>
    <w:rsid w:val="00377B32"/>
    <w:rsid w:val="00380535"/>
    <w:rsid w:val="003808F9"/>
    <w:rsid w:val="00380BBF"/>
    <w:rsid w:val="0038112C"/>
    <w:rsid w:val="003813D8"/>
    <w:rsid w:val="003833F8"/>
    <w:rsid w:val="003847BB"/>
    <w:rsid w:val="00384F11"/>
    <w:rsid w:val="00384F4B"/>
    <w:rsid w:val="003852D8"/>
    <w:rsid w:val="00386844"/>
    <w:rsid w:val="003877AE"/>
    <w:rsid w:val="00390300"/>
    <w:rsid w:val="00390735"/>
    <w:rsid w:val="00390A45"/>
    <w:rsid w:val="00391832"/>
    <w:rsid w:val="00391C33"/>
    <w:rsid w:val="0039319E"/>
    <w:rsid w:val="00394553"/>
    <w:rsid w:val="00394D6C"/>
    <w:rsid w:val="00394F1B"/>
    <w:rsid w:val="0039502F"/>
    <w:rsid w:val="003966F0"/>
    <w:rsid w:val="003A0F6B"/>
    <w:rsid w:val="003A1086"/>
    <w:rsid w:val="003A2599"/>
    <w:rsid w:val="003A25C4"/>
    <w:rsid w:val="003A3AAE"/>
    <w:rsid w:val="003A69D5"/>
    <w:rsid w:val="003A6BB9"/>
    <w:rsid w:val="003A7222"/>
    <w:rsid w:val="003A7602"/>
    <w:rsid w:val="003A7DF1"/>
    <w:rsid w:val="003A7E86"/>
    <w:rsid w:val="003B126C"/>
    <w:rsid w:val="003B1EDE"/>
    <w:rsid w:val="003B2AA4"/>
    <w:rsid w:val="003B3052"/>
    <w:rsid w:val="003B452A"/>
    <w:rsid w:val="003B453D"/>
    <w:rsid w:val="003B4884"/>
    <w:rsid w:val="003B4BA3"/>
    <w:rsid w:val="003B696D"/>
    <w:rsid w:val="003B6C0E"/>
    <w:rsid w:val="003B7270"/>
    <w:rsid w:val="003C0129"/>
    <w:rsid w:val="003C0338"/>
    <w:rsid w:val="003C0E66"/>
    <w:rsid w:val="003C13ED"/>
    <w:rsid w:val="003C1BA1"/>
    <w:rsid w:val="003C1C2E"/>
    <w:rsid w:val="003C1EFA"/>
    <w:rsid w:val="003C4445"/>
    <w:rsid w:val="003C4ADD"/>
    <w:rsid w:val="003C500C"/>
    <w:rsid w:val="003C5AB4"/>
    <w:rsid w:val="003C6723"/>
    <w:rsid w:val="003D0851"/>
    <w:rsid w:val="003D140D"/>
    <w:rsid w:val="003D1B2E"/>
    <w:rsid w:val="003D2543"/>
    <w:rsid w:val="003D2F31"/>
    <w:rsid w:val="003D3615"/>
    <w:rsid w:val="003D3AE0"/>
    <w:rsid w:val="003D3E4A"/>
    <w:rsid w:val="003D3FBA"/>
    <w:rsid w:val="003D4427"/>
    <w:rsid w:val="003D49C3"/>
    <w:rsid w:val="003D4DAC"/>
    <w:rsid w:val="003D57A7"/>
    <w:rsid w:val="003D67FA"/>
    <w:rsid w:val="003D704B"/>
    <w:rsid w:val="003D7212"/>
    <w:rsid w:val="003D7FD9"/>
    <w:rsid w:val="003E00B1"/>
    <w:rsid w:val="003E0953"/>
    <w:rsid w:val="003E0F55"/>
    <w:rsid w:val="003E1B49"/>
    <w:rsid w:val="003E1EBF"/>
    <w:rsid w:val="003E20AF"/>
    <w:rsid w:val="003E2E29"/>
    <w:rsid w:val="003E353B"/>
    <w:rsid w:val="003E3E34"/>
    <w:rsid w:val="003E465F"/>
    <w:rsid w:val="003E4DB6"/>
    <w:rsid w:val="003E545C"/>
    <w:rsid w:val="003E687C"/>
    <w:rsid w:val="003E79EF"/>
    <w:rsid w:val="003F07FE"/>
    <w:rsid w:val="003F0AAE"/>
    <w:rsid w:val="003F0F4A"/>
    <w:rsid w:val="003F1441"/>
    <w:rsid w:val="003F2979"/>
    <w:rsid w:val="003F2BB0"/>
    <w:rsid w:val="003F3BBC"/>
    <w:rsid w:val="003F3FFE"/>
    <w:rsid w:val="003F61ED"/>
    <w:rsid w:val="003F785A"/>
    <w:rsid w:val="004003E9"/>
    <w:rsid w:val="00400A00"/>
    <w:rsid w:val="00400A0C"/>
    <w:rsid w:val="00400EA2"/>
    <w:rsid w:val="00400FD3"/>
    <w:rsid w:val="00401DA6"/>
    <w:rsid w:val="00401DB2"/>
    <w:rsid w:val="00402116"/>
    <w:rsid w:val="00402D66"/>
    <w:rsid w:val="00403176"/>
    <w:rsid w:val="004033C0"/>
    <w:rsid w:val="004045F8"/>
    <w:rsid w:val="00404967"/>
    <w:rsid w:val="00404B64"/>
    <w:rsid w:val="004052DB"/>
    <w:rsid w:val="00407AE1"/>
    <w:rsid w:val="00411465"/>
    <w:rsid w:val="00411816"/>
    <w:rsid w:val="00411E90"/>
    <w:rsid w:val="00413706"/>
    <w:rsid w:val="004137D5"/>
    <w:rsid w:val="00414216"/>
    <w:rsid w:val="0041477D"/>
    <w:rsid w:val="004153EC"/>
    <w:rsid w:val="00416062"/>
    <w:rsid w:val="00417049"/>
    <w:rsid w:val="00417D20"/>
    <w:rsid w:val="00417D29"/>
    <w:rsid w:val="00421983"/>
    <w:rsid w:val="0042264A"/>
    <w:rsid w:val="00422C54"/>
    <w:rsid w:val="00423090"/>
    <w:rsid w:val="00423140"/>
    <w:rsid w:val="0042336E"/>
    <w:rsid w:val="00423F3D"/>
    <w:rsid w:val="004245E9"/>
    <w:rsid w:val="00424D32"/>
    <w:rsid w:val="00424D65"/>
    <w:rsid w:val="00424F14"/>
    <w:rsid w:val="00425103"/>
    <w:rsid w:val="00425197"/>
    <w:rsid w:val="0042528C"/>
    <w:rsid w:val="0042561C"/>
    <w:rsid w:val="00425A38"/>
    <w:rsid w:val="00425C02"/>
    <w:rsid w:val="00426451"/>
    <w:rsid w:val="0042683C"/>
    <w:rsid w:val="00426D91"/>
    <w:rsid w:val="0043017C"/>
    <w:rsid w:val="00430D44"/>
    <w:rsid w:val="00430E96"/>
    <w:rsid w:val="00431903"/>
    <w:rsid w:val="00432962"/>
    <w:rsid w:val="00432B03"/>
    <w:rsid w:val="00433203"/>
    <w:rsid w:val="00433244"/>
    <w:rsid w:val="00433C80"/>
    <w:rsid w:val="00434682"/>
    <w:rsid w:val="00435081"/>
    <w:rsid w:val="00435B0B"/>
    <w:rsid w:val="00435CC8"/>
    <w:rsid w:val="004362C8"/>
    <w:rsid w:val="0043680E"/>
    <w:rsid w:val="00436C6F"/>
    <w:rsid w:val="0043769D"/>
    <w:rsid w:val="00440522"/>
    <w:rsid w:val="004406FB"/>
    <w:rsid w:val="00441659"/>
    <w:rsid w:val="004421E9"/>
    <w:rsid w:val="00442FA4"/>
    <w:rsid w:val="004435C8"/>
    <w:rsid w:val="00443781"/>
    <w:rsid w:val="004445FC"/>
    <w:rsid w:val="004449A2"/>
    <w:rsid w:val="00444BA0"/>
    <w:rsid w:val="0044521E"/>
    <w:rsid w:val="00445354"/>
    <w:rsid w:val="00445943"/>
    <w:rsid w:val="00445DFD"/>
    <w:rsid w:val="004462B2"/>
    <w:rsid w:val="00446443"/>
    <w:rsid w:val="0044783C"/>
    <w:rsid w:val="00447A11"/>
    <w:rsid w:val="00447D47"/>
    <w:rsid w:val="00450108"/>
    <w:rsid w:val="00451B94"/>
    <w:rsid w:val="00451EAF"/>
    <w:rsid w:val="00452855"/>
    <w:rsid w:val="0045289D"/>
    <w:rsid w:val="00452BC9"/>
    <w:rsid w:val="004534DB"/>
    <w:rsid w:val="004541A3"/>
    <w:rsid w:val="004545C3"/>
    <w:rsid w:val="004546B3"/>
    <w:rsid w:val="00454B16"/>
    <w:rsid w:val="00455122"/>
    <w:rsid w:val="00455594"/>
    <w:rsid w:val="00455630"/>
    <w:rsid w:val="00455DC3"/>
    <w:rsid w:val="00456A6E"/>
    <w:rsid w:val="0045749B"/>
    <w:rsid w:val="004574DD"/>
    <w:rsid w:val="00457954"/>
    <w:rsid w:val="00457B8C"/>
    <w:rsid w:val="00460DD6"/>
    <w:rsid w:val="00461628"/>
    <w:rsid w:val="004626FE"/>
    <w:rsid w:val="00462CE0"/>
    <w:rsid w:val="004630DC"/>
    <w:rsid w:val="00466664"/>
    <w:rsid w:val="004670C8"/>
    <w:rsid w:val="00467142"/>
    <w:rsid w:val="004702EC"/>
    <w:rsid w:val="00472080"/>
    <w:rsid w:val="00472170"/>
    <w:rsid w:val="00472225"/>
    <w:rsid w:val="00473ABA"/>
    <w:rsid w:val="00473CB2"/>
    <w:rsid w:val="0047463B"/>
    <w:rsid w:val="004752C5"/>
    <w:rsid w:val="0047530C"/>
    <w:rsid w:val="00475D13"/>
    <w:rsid w:val="00476656"/>
    <w:rsid w:val="004769F6"/>
    <w:rsid w:val="00477612"/>
    <w:rsid w:val="00480502"/>
    <w:rsid w:val="00480E9A"/>
    <w:rsid w:val="004811C4"/>
    <w:rsid w:val="004816E3"/>
    <w:rsid w:val="00481A23"/>
    <w:rsid w:val="004820DE"/>
    <w:rsid w:val="00482438"/>
    <w:rsid w:val="004835CF"/>
    <w:rsid w:val="004839AA"/>
    <w:rsid w:val="00483B53"/>
    <w:rsid w:val="0048465D"/>
    <w:rsid w:val="004854FC"/>
    <w:rsid w:val="00487109"/>
    <w:rsid w:val="00492591"/>
    <w:rsid w:val="00492CE5"/>
    <w:rsid w:val="00492D81"/>
    <w:rsid w:val="00494315"/>
    <w:rsid w:val="0049446F"/>
    <w:rsid w:val="00495948"/>
    <w:rsid w:val="00495995"/>
    <w:rsid w:val="004964B0"/>
    <w:rsid w:val="00497651"/>
    <w:rsid w:val="0049788F"/>
    <w:rsid w:val="004A0FE6"/>
    <w:rsid w:val="004A1285"/>
    <w:rsid w:val="004A14C2"/>
    <w:rsid w:val="004A1748"/>
    <w:rsid w:val="004A292B"/>
    <w:rsid w:val="004A2C20"/>
    <w:rsid w:val="004A3486"/>
    <w:rsid w:val="004A3632"/>
    <w:rsid w:val="004A467A"/>
    <w:rsid w:val="004A4702"/>
    <w:rsid w:val="004A477F"/>
    <w:rsid w:val="004A4C3D"/>
    <w:rsid w:val="004A68FC"/>
    <w:rsid w:val="004A740B"/>
    <w:rsid w:val="004B046F"/>
    <w:rsid w:val="004B14BD"/>
    <w:rsid w:val="004B179A"/>
    <w:rsid w:val="004B2A52"/>
    <w:rsid w:val="004B3A14"/>
    <w:rsid w:val="004B3D26"/>
    <w:rsid w:val="004B43A6"/>
    <w:rsid w:val="004B4573"/>
    <w:rsid w:val="004B6466"/>
    <w:rsid w:val="004B6959"/>
    <w:rsid w:val="004B6D48"/>
    <w:rsid w:val="004B703D"/>
    <w:rsid w:val="004B727E"/>
    <w:rsid w:val="004C2C26"/>
    <w:rsid w:val="004C3043"/>
    <w:rsid w:val="004C357F"/>
    <w:rsid w:val="004C3869"/>
    <w:rsid w:val="004C4C15"/>
    <w:rsid w:val="004C513C"/>
    <w:rsid w:val="004C5335"/>
    <w:rsid w:val="004C6534"/>
    <w:rsid w:val="004D005D"/>
    <w:rsid w:val="004D1B81"/>
    <w:rsid w:val="004D20E1"/>
    <w:rsid w:val="004D2473"/>
    <w:rsid w:val="004D28D2"/>
    <w:rsid w:val="004D3BF2"/>
    <w:rsid w:val="004D4AFD"/>
    <w:rsid w:val="004D5243"/>
    <w:rsid w:val="004D5296"/>
    <w:rsid w:val="004D5CA1"/>
    <w:rsid w:val="004D5FA0"/>
    <w:rsid w:val="004D6A28"/>
    <w:rsid w:val="004D7883"/>
    <w:rsid w:val="004D7EA3"/>
    <w:rsid w:val="004D7F7A"/>
    <w:rsid w:val="004E164F"/>
    <w:rsid w:val="004E1809"/>
    <w:rsid w:val="004E36B6"/>
    <w:rsid w:val="004E508E"/>
    <w:rsid w:val="004E5201"/>
    <w:rsid w:val="004E668D"/>
    <w:rsid w:val="004E6A86"/>
    <w:rsid w:val="004E6CA6"/>
    <w:rsid w:val="004E6F49"/>
    <w:rsid w:val="004E706B"/>
    <w:rsid w:val="004F0F08"/>
    <w:rsid w:val="004F1C78"/>
    <w:rsid w:val="004F2058"/>
    <w:rsid w:val="004F2377"/>
    <w:rsid w:val="004F2FE7"/>
    <w:rsid w:val="004F3B60"/>
    <w:rsid w:val="004F4AA2"/>
    <w:rsid w:val="004F4C93"/>
    <w:rsid w:val="004F500B"/>
    <w:rsid w:val="004F542C"/>
    <w:rsid w:val="004F5DBE"/>
    <w:rsid w:val="004F6322"/>
    <w:rsid w:val="004F675D"/>
    <w:rsid w:val="004F67F8"/>
    <w:rsid w:val="004F72B9"/>
    <w:rsid w:val="004F776A"/>
    <w:rsid w:val="005016F4"/>
    <w:rsid w:val="00501ED6"/>
    <w:rsid w:val="00502952"/>
    <w:rsid w:val="00503EF2"/>
    <w:rsid w:val="00504996"/>
    <w:rsid w:val="005058E5"/>
    <w:rsid w:val="00506762"/>
    <w:rsid w:val="00506DD2"/>
    <w:rsid w:val="005076AB"/>
    <w:rsid w:val="00507D6C"/>
    <w:rsid w:val="00510B6C"/>
    <w:rsid w:val="00510D2D"/>
    <w:rsid w:val="005110A0"/>
    <w:rsid w:val="005114AF"/>
    <w:rsid w:val="00511F1C"/>
    <w:rsid w:val="005134B1"/>
    <w:rsid w:val="00513CED"/>
    <w:rsid w:val="00514478"/>
    <w:rsid w:val="00514E57"/>
    <w:rsid w:val="00515BAC"/>
    <w:rsid w:val="00515DA6"/>
    <w:rsid w:val="00516098"/>
    <w:rsid w:val="00516F4D"/>
    <w:rsid w:val="005171F1"/>
    <w:rsid w:val="00517A66"/>
    <w:rsid w:val="005201A1"/>
    <w:rsid w:val="0052175F"/>
    <w:rsid w:val="00521C7D"/>
    <w:rsid w:val="005222AB"/>
    <w:rsid w:val="00523424"/>
    <w:rsid w:val="00523A68"/>
    <w:rsid w:val="00523F7C"/>
    <w:rsid w:val="005249A7"/>
    <w:rsid w:val="00524E6D"/>
    <w:rsid w:val="0052540D"/>
    <w:rsid w:val="0052593E"/>
    <w:rsid w:val="00525B10"/>
    <w:rsid w:val="00525F23"/>
    <w:rsid w:val="00525F90"/>
    <w:rsid w:val="0052637B"/>
    <w:rsid w:val="0052672E"/>
    <w:rsid w:val="005271BF"/>
    <w:rsid w:val="005275C3"/>
    <w:rsid w:val="00527DB2"/>
    <w:rsid w:val="00530327"/>
    <w:rsid w:val="00530D38"/>
    <w:rsid w:val="0053124C"/>
    <w:rsid w:val="005312AE"/>
    <w:rsid w:val="00531FB2"/>
    <w:rsid w:val="00532D44"/>
    <w:rsid w:val="005332FA"/>
    <w:rsid w:val="005333FF"/>
    <w:rsid w:val="00533E6C"/>
    <w:rsid w:val="00534EBD"/>
    <w:rsid w:val="00535B70"/>
    <w:rsid w:val="00536508"/>
    <w:rsid w:val="00540677"/>
    <w:rsid w:val="00540954"/>
    <w:rsid w:val="0054115C"/>
    <w:rsid w:val="005419B1"/>
    <w:rsid w:val="00541BB2"/>
    <w:rsid w:val="00542A9F"/>
    <w:rsid w:val="0054303D"/>
    <w:rsid w:val="00543415"/>
    <w:rsid w:val="00544607"/>
    <w:rsid w:val="00544A2C"/>
    <w:rsid w:val="00544D39"/>
    <w:rsid w:val="00545CD2"/>
    <w:rsid w:val="00546113"/>
    <w:rsid w:val="00547333"/>
    <w:rsid w:val="00547FFB"/>
    <w:rsid w:val="00550D63"/>
    <w:rsid w:val="00551D7A"/>
    <w:rsid w:val="00552C38"/>
    <w:rsid w:val="00553363"/>
    <w:rsid w:val="00553ACD"/>
    <w:rsid w:val="005549BA"/>
    <w:rsid w:val="0055523B"/>
    <w:rsid w:val="00555511"/>
    <w:rsid w:val="00560B9D"/>
    <w:rsid w:val="00561BD4"/>
    <w:rsid w:val="005631F2"/>
    <w:rsid w:val="00563FEE"/>
    <w:rsid w:val="00564B3E"/>
    <w:rsid w:val="00565C72"/>
    <w:rsid w:val="0056688A"/>
    <w:rsid w:val="00566F33"/>
    <w:rsid w:val="00567113"/>
    <w:rsid w:val="00567634"/>
    <w:rsid w:val="00567AAE"/>
    <w:rsid w:val="00567CCF"/>
    <w:rsid w:val="005706E9"/>
    <w:rsid w:val="00570744"/>
    <w:rsid w:val="00570A5A"/>
    <w:rsid w:val="00571086"/>
    <w:rsid w:val="00571283"/>
    <w:rsid w:val="00571704"/>
    <w:rsid w:val="00571B47"/>
    <w:rsid w:val="00572CCF"/>
    <w:rsid w:val="00572D88"/>
    <w:rsid w:val="00572DC0"/>
    <w:rsid w:val="005740AB"/>
    <w:rsid w:val="005744F4"/>
    <w:rsid w:val="005745F0"/>
    <w:rsid w:val="00574641"/>
    <w:rsid w:val="005746C8"/>
    <w:rsid w:val="00576F9D"/>
    <w:rsid w:val="00577268"/>
    <w:rsid w:val="005775CD"/>
    <w:rsid w:val="00580613"/>
    <w:rsid w:val="00580D86"/>
    <w:rsid w:val="00581964"/>
    <w:rsid w:val="00581FC6"/>
    <w:rsid w:val="00583B0E"/>
    <w:rsid w:val="00584002"/>
    <w:rsid w:val="005854A5"/>
    <w:rsid w:val="00585532"/>
    <w:rsid w:val="00585632"/>
    <w:rsid w:val="005904AF"/>
    <w:rsid w:val="005915D8"/>
    <w:rsid w:val="0059163A"/>
    <w:rsid w:val="00591B67"/>
    <w:rsid w:val="00594BCC"/>
    <w:rsid w:val="00594CC9"/>
    <w:rsid w:val="0059538D"/>
    <w:rsid w:val="00595CDA"/>
    <w:rsid w:val="00595E23"/>
    <w:rsid w:val="00596B76"/>
    <w:rsid w:val="00597525"/>
    <w:rsid w:val="005A027C"/>
    <w:rsid w:val="005A0E52"/>
    <w:rsid w:val="005A1144"/>
    <w:rsid w:val="005A18DD"/>
    <w:rsid w:val="005A1F7A"/>
    <w:rsid w:val="005A2B7C"/>
    <w:rsid w:val="005A3EFE"/>
    <w:rsid w:val="005A3F3F"/>
    <w:rsid w:val="005A579A"/>
    <w:rsid w:val="005A5A3C"/>
    <w:rsid w:val="005A5E25"/>
    <w:rsid w:val="005A69E0"/>
    <w:rsid w:val="005A6C7C"/>
    <w:rsid w:val="005B0AED"/>
    <w:rsid w:val="005B0B24"/>
    <w:rsid w:val="005B1690"/>
    <w:rsid w:val="005B19B2"/>
    <w:rsid w:val="005B19E7"/>
    <w:rsid w:val="005B2130"/>
    <w:rsid w:val="005B2B3A"/>
    <w:rsid w:val="005B2FBB"/>
    <w:rsid w:val="005B3477"/>
    <w:rsid w:val="005B3E2C"/>
    <w:rsid w:val="005B58CF"/>
    <w:rsid w:val="005B5C9A"/>
    <w:rsid w:val="005B5DDB"/>
    <w:rsid w:val="005B64DF"/>
    <w:rsid w:val="005B68FB"/>
    <w:rsid w:val="005B7334"/>
    <w:rsid w:val="005B753D"/>
    <w:rsid w:val="005B798F"/>
    <w:rsid w:val="005B7D50"/>
    <w:rsid w:val="005C0918"/>
    <w:rsid w:val="005C117F"/>
    <w:rsid w:val="005C185C"/>
    <w:rsid w:val="005C1899"/>
    <w:rsid w:val="005C1CA5"/>
    <w:rsid w:val="005C2909"/>
    <w:rsid w:val="005C3880"/>
    <w:rsid w:val="005C3929"/>
    <w:rsid w:val="005C3AF4"/>
    <w:rsid w:val="005C3CB4"/>
    <w:rsid w:val="005C3CDF"/>
    <w:rsid w:val="005C5C88"/>
    <w:rsid w:val="005C5D1D"/>
    <w:rsid w:val="005C5DAD"/>
    <w:rsid w:val="005C6397"/>
    <w:rsid w:val="005C65AE"/>
    <w:rsid w:val="005C6D96"/>
    <w:rsid w:val="005C73A2"/>
    <w:rsid w:val="005C76B1"/>
    <w:rsid w:val="005C7889"/>
    <w:rsid w:val="005D08B4"/>
    <w:rsid w:val="005D124D"/>
    <w:rsid w:val="005D1827"/>
    <w:rsid w:val="005D1BF6"/>
    <w:rsid w:val="005D2A79"/>
    <w:rsid w:val="005D32C6"/>
    <w:rsid w:val="005D3836"/>
    <w:rsid w:val="005D3DF4"/>
    <w:rsid w:val="005D4023"/>
    <w:rsid w:val="005D4502"/>
    <w:rsid w:val="005D4C17"/>
    <w:rsid w:val="005D51E5"/>
    <w:rsid w:val="005D7E01"/>
    <w:rsid w:val="005E0420"/>
    <w:rsid w:val="005E0B73"/>
    <w:rsid w:val="005E183C"/>
    <w:rsid w:val="005E1C6A"/>
    <w:rsid w:val="005E21E0"/>
    <w:rsid w:val="005E2278"/>
    <w:rsid w:val="005E2AE0"/>
    <w:rsid w:val="005E2CCD"/>
    <w:rsid w:val="005E32C4"/>
    <w:rsid w:val="005E3B23"/>
    <w:rsid w:val="005E571C"/>
    <w:rsid w:val="005E66C4"/>
    <w:rsid w:val="005E7E81"/>
    <w:rsid w:val="005E7ED8"/>
    <w:rsid w:val="005F09AC"/>
    <w:rsid w:val="005F11BF"/>
    <w:rsid w:val="005F1788"/>
    <w:rsid w:val="005F2805"/>
    <w:rsid w:val="005F2E69"/>
    <w:rsid w:val="005F52BA"/>
    <w:rsid w:val="005F55B7"/>
    <w:rsid w:val="005F5954"/>
    <w:rsid w:val="005F5A76"/>
    <w:rsid w:val="005F5D85"/>
    <w:rsid w:val="005F65C4"/>
    <w:rsid w:val="005F7F52"/>
    <w:rsid w:val="00600822"/>
    <w:rsid w:val="006009A6"/>
    <w:rsid w:val="00600D60"/>
    <w:rsid w:val="00601339"/>
    <w:rsid w:val="00601A84"/>
    <w:rsid w:val="00602081"/>
    <w:rsid w:val="00602EF3"/>
    <w:rsid w:val="00603170"/>
    <w:rsid w:val="00603761"/>
    <w:rsid w:val="006038AF"/>
    <w:rsid w:val="00604758"/>
    <w:rsid w:val="006063E6"/>
    <w:rsid w:val="0060787D"/>
    <w:rsid w:val="00610263"/>
    <w:rsid w:val="00610400"/>
    <w:rsid w:val="00611964"/>
    <w:rsid w:val="00611C5E"/>
    <w:rsid w:val="006127F6"/>
    <w:rsid w:val="00612B77"/>
    <w:rsid w:val="00615976"/>
    <w:rsid w:val="0061620C"/>
    <w:rsid w:val="0061666E"/>
    <w:rsid w:val="0061703A"/>
    <w:rsid w:val="006225B6"/>
    <w:rsid w:val="006233A8"/>
    <w:rsid w:val="0062366C"/>
    <w:rsid w:val="006243EE"/>
    <w:rsid w:val="00624AB5"/>
    <w:rsid w:val="006252BA"/>
    <w:rsid w:val="0062531D"/>
    <w:rsid w:val="006265D2"/>
    <w:rsid w:val="00626FF9"/>
    <w:rsid w:val="00627017"/>
    <w:rsid w:val="00627418"/>
    <w:rsid w:val="006278C5"/>
    <w:rsid w:val="00627C1F"/>
    <w:rsid w:val="006325F2"/>
    <w:rsid w:val="00632E8C"/>
    <w:rsid w:val="006334AD"/>
    <w:rsid w:val="006339C1"/>
    <w:rsid w:val="00633D25"/>
    <w:rsid w:val="006353D3"/>
    <w:rsid w:val="006354B2"/>
    <w:rsid w:val="00635BA3"/>
    <w:rsid w:val="0063601D"/>
    <w:rsid w:val="0063680E"/>
    <w:rsid w:val="0063794C"/>
    <w:rsid w:val="00641AF5"/>
    <w:rsid w:val="006432C4"/>
    <w:rsid w:val="006434E0"/>
    <w:rsid w:val="00643B1D"/>
    <w:rsid w:val="00643CBA"/>
    <w:rsid w:val="00644CF8"/>
    <w:rsid w:val="00645420"/>
    <w:rsid w:val="00645B81"/>
    <w:rsid w:val="00647295"/>
    <w:rsid w:val="00647856"/>
    <w:rsid w:val="00650FF1"/>
    <w:rsid w:val="006520A5"/>
    <w:rsid w:val="006525D9"/>
    <w:rsid w:val="0065452B"/>
    <w:rsid w:val="006550D4"/>
    <w:rsid w:val="00657404"/>
    <w:rsid w:val="0065752E"/>
    <w:rsid w:val="0066020C"/>
    <w:rsid w:val="00661D2A"/>
    <w:rsid w:val="00662A1C"/>
    <w:rsid w:val="00663E9C"/>
    <w:rsid w:val="0066433F"/>
    <w:rsid w:val="006664E5"/>
    <w:rsid w:val="006672C8"/>
    <w:rsid w:val="00667775"/>
    <w:rsid w:val="006708A7"/>
    <w:rsid w:val="006721DB"/>
    <w:rsid w:val="0067234A"/>
    <w:rsid w:val="0067342C"/>
    <w:rsid w:val="00673647"/>
    <w:rsid w:val="00673C9F"/>
    <w:rsid w:val="00673EF8"/>
    <w:rsid w:val="00674B98"/>
    <w:rsid w:val="006750A8"/>
    <w:rsid w:val="006759E1"/>
    <w:rsid w:val="00675C80"/>
    <w:rsid w:val="00675DAF"/>
    <w:rsid w:val="00675E8D"/>
    <w:rsid w:val="00676184"/>
    <w:rsid w:val="00676667"/>
    <w:rsid w:val="00680289"/>
    <w:rsid w:val="006809E6"/>
    <w:rsid w:val="00682154"/>
    <w:rsid w:val="0068307E"/>
    <w:rsid w:val="00683B8C"/>
    <w:rsid w:val="00683CBC"/>
    <w:rsid w:val="00683D0A"/>
    <w:rsid w:val="00684235"/>
    <w:rsid w:val="00684F0B"/>
    <w:rsid w:val="00685750"/>
    <w:rsid w:val="0068681C"/>
    <w:rsid w:val="00686DB3"/>
    <w:rsid w:val="006874C1"/>
    <w:rsid w:val="006879B5"/>
    <w:rsid w:val="00691192"/>
    <w:rsid w:val="00691393"/>
    <w:rsid w:val="0069179D"/>
    <w:rsid w:val="00691DF7"/>
    <w:rsid w:val="0069296C"/>
    <w:rsid w:val="00692C40"/>
    <w:rsid w:val="00693370"/>
    <w:rsid w:val="00693AF3"/>
    <w:rsid w:val="00693D35"/>
    <w:rsid w:val="00693E22"/>
    <w:rsid w:val="00695117"/>
    <w:rsid w:val="006970F9"/>
    <w:rsid w:val="00697AB5"/>
    <w:rsid w:val="00697E0A"/>
    <w:rsid w:val="006A0694"/>
    <w:rsid w:val="006A06F9"/>
    <w:rsid w:val="006A117F"/>
    <w:rsid w:val="006A1AAA"/>
    <w:rsid w:val="006A221D"/>
    <w:rsid w:val="006A26FE"/>
    <w:rsid w:val="006A3E5B"/>
    <w:rsid w:val="006A4062"/>
    <w:rsid w:val="006A4359"/>
    <w:rsid w:val="006A46F9"/>
    <w:rsid w:val="006A5403"/>
    <w:rsid w:val="006A5D7E"/>
    <w:rsid w:val="006A680D"/>
    <w:rsid w:val="006A7398"/>
    <w:rsid w:val="006A7423"/>
    <w:rsid w:val="006A7CB5"/>
    <w:rsid w:val="006A7D88"/>
    <w:rsid w:val="006B10E4"/>
    <w:rsid w:val="006B111E"/>
    <w:rsid w:val="006B1BC0"/>
    <w:rsid w:val="006B21FF"/>
    <w:rsid w:val="006B252F"/>
    <w:rsid w:val="006B61B7"/>
    <w:rsid w:val="006B6653"/>
    <w:rsid w:val="006B7230"/>
    <w:rsid w:val="006B773D"/>
    <w:rsid w:val="006B79E6"/>
    <w:rsid w:val="006C0F3D"/>
    <w:rsid w:val="006C1350"/>
    <w:rsid w:val="006C145C"/>
    <w:rsid w:val="006C1799"/>
    <w:rsid w:val="006C1F5E"/>
    <w:rsid w:val="006C24AA"/>
    <w:rsid w:val="006C28BD"/>
    <w:rsid w:val="006C29F5"/>
    <w:rsid w:val="006C3B73"/>
    <w:rsid w:val="006C3FE2"/>
    <w:rsid w:val="006C45A0"/>
    <w:rsid w:val="006C4B7D"/>
    <w:rsid w:val="006C4FBA"/>
    <w:rsid w:val="006C5AA5"/>
    <w:rsid w:val="006C778A"/>
    <w:rsid w:val="006C7905"/>
    <w:rsid w:val="006D0111"/>
    <w:rsid w:val="006D0548"/>
    <w:rsid w:val="006D0592"/>
    <w:rsid w:val="006D0BC4"/>
    <w:rsid w:val="006D166A"/>
    <w:rsid w:val="006D23CB"/>
    <w:rsid w:val="006D36D5"/>
    <w:rsid w:val="006D37B5"/>
    <w:rsid w:val="006D3DB4"/>
    <w:rsid w:val="006D40F3"/>
    <w:rsid w:val="006D456C"/>
    <w:rsid w:val="006D4F48"/>
    <w:rsid w:val="006D54F5"/>
    <w:rsid w:val="006D6322"/>
    <w:rsid w:val="006D656F"/>
    <w:rsid w:val="006D664C"/>
    <w:rsid w:val="006D716E"/>
    <w:rsid w:val="006D7501"/>
    <w:rsid w:val="006D783B"/>
    <w:rsid w:val="006D7FBF"/>
    <w:rsid w:val="006E072D"/>
    <w:rsid w:val="006E082D"/>
    <w:rsid w:val="006E136E"/>
    <w:rsid w:val="006E1637"/>
    <w:rsid w:val="006E1FC3"/>
    <w:rsid w:val="006E1FF9"/>
    <w:rsid w:val="006E3303"/>
    <w:rsid w:val="006E3AEB"/>
    <w:rsid w:val="006E3C14"/>
    <w:rsid w:val="006E3CDB"/>
    <w:rsid w:val="006E7C04"/>
    <w:rsid w:val="006F12BD"/>
    <w:rsid w:val="006F1AD9"/>
    <w:rsid w:val="006F1C36"/>
    <w:rsid w:val="006F30DB"/>
    <w:rsid w:val="006F5109"/>
    <w:rsid w:val="006F59A4"/>
    <w:rsid w:val="006F7D6A"/>
    <w:rsid w:val="006F7F44"/>
    <w:rsid w:val="00700758"/>
    <w:rsid w:val="00700858"/>
    <w:rsid w:val="0070103C"/>
    <w:rsid w:val="007013E1"/>
    <w:rsid w:val="00701611"/>
    <w:rsid w:val="0070231B"/>
    <w:rsid w:val="00702AA7"/>
    <w:rsid w:val="007039FD"/>
    <w:rsid w:val="00703C48"/>
    <w:rsid w:val="00704FBB"/>
    <w:rsid w:val="007069AA"/>
    <w:rsid w:val="00706C2F"/>
    <w:rsid w:val="00706EB4"/>
    <w:rsid w:val="0070706C"/>
    <w:rsid w:val="00710171"/>
    <w:rsid w:val="007105BB"/>
    <w:rsid w:val="00711238"/>
    <w:rsid w:val="00711C25"/>
    <w:rsid w:val="00711E25"/>
    <w:rsid w:val="0071210A"/>
    <w:rsid w:val="00712AED"/>
    <w:rsid w:val="00712E44"/>
    <w:rsid w:val="00712F73"/>
    <w:rsid w:val="00714554"/>
    <w:rsid w:val="0071497D"/>
    <w:rsid w:val="00714EB3"/>
    <w:rsid w:val="007156C2"/>
    <w:rsid w:val="00716754"/>
    <w:rsid w:val="0071676B"/>
    <w:rsid w:val="007169C8"/>
    <w:rsid w:val="00717C59"/>
    <w:rsid w:val="00721598"/>
    <w:rsid w:val="0072253F"/>
    <w:rsid w:val="007227C9"/>
    <w:rsid w:val="007229CF"/>
    <w:rsid w:val="0072329B"/>
    <w:rsid w:val="007245D1"/>
    <w:rsid w:val="00724893"/>
    <w:rsid w:val="0072537B"/>
    <w:rsid w:val="00725774"/>
    <w:rsid w:val="00725F80"/>
    <w:rsid w:val="007269F8"/>
    <w:rsid w:val="00726C63"/>
    <w:rsid w:val="007278F0"/>
    <w:rsid w:val="007321DA"/>
    <w:rsid w:val="007321EF"/>
    <w:rsid w:val="0073278C"/>
    <w:rsid w:val="007329FD"/>
    <w:rsid w:val="007336F1"/>
    <w:rsid w:val="007336F3"/>
    <w:rsid w:val="00734673"/>
    <w:rsid w:val="00734799"/>
    <w:rsid w:val="00735EF4"/>
    <w:rsid w:val="0073635C"/>
    <w:rsid w:val="00736927"/>
    <w:rsid w:val="00736A42"/>
    <w:rsid w:val="0073780D"/>
    <w:rsid w:val="00737EDF"/>
    <w:rsid w:val="00740481"/>
    <w:rsid w:val="00743056"/>
    <w:rsid w:val="007435D6"/>
    <w:rsid w:val="00744F91"/>
    <w:rsid w:val="00745FDD"/>
    <w:rsid w:val="00746062"/>
    <w:rsid w:val="0074634F"/>
    <w:rsid w:val="00747367"/>
    <w:rsid w:val="00747A58"/>
    <w:rsid w:val="00747EE3"/>
    <w:rsid w:val="00751113"/>
    <w:rsid w:val="00751928"/>
    <w:rsid w:val="00753911"/>
    <w:rsid w:val="00754466"/>
    <w:rsid w:val="00755406"/>
    <w:rsid w:val="007558E9"/>
    <w:rsid w:val="0075647F"/>
    <w:rsid w:val="00756B07"/>
    <w:rsid w:val="00756C57"/>
    <w:rsid w:val="00757063"/>
    <w:rsid w:val="00757D3D"/>
    <w:rsid w:val="007603CC"/>
    <w:rsid w:val="00763297"/>
    <w:rsid w:val="0076333E"/>
    <w:rsid w:val="0076339B"/>
    <w:rsid w:val="00763ECE"/>
    <w:rsid w:val="007649DE"/>
    <w:rsid w:val="00764D57"/>
    <w:rsid w:val="007653A5"/>
    <w:rsid w:val="0076644C"/>
    <w:rsid w:val="00767197"/>
    <w:rsid w:val="00767868"/>
    <w:rsid w:val="0077084C"/>
    <w:rsid w:val="00772085"/>
    <w:rsid w:val="00772113"/>
    <w:rsid w:val="0077328F"/>
    <w:rsid w:val="00775613"/>
    <w:rsid w:val="00776486"/>
    <w:rsid w:val="0077683B"/>
    <w:rsid w:val="007773B7"/>
    <w:rsid w:val="00780D6E"/>
    <w:rsid w:val="007814F7"/>
    <w:rsid w:val="0078297B"/>
    <w:rsid w:val="00782A79"/>
    <w:rsid w:val="00782A88"/>
    <w:rsid w:val="00782F62"/>
    <w:rsid w:val="007837A2"/>
    <w:rsid w:val="0078397A"/>
    <w:rsid w:val="00783B1A"/>
    <w:rsid w:val="007842EE"/>
    <w:rsid w:val="007851EC"/>
    <w:rsid w:val="00785C0D"/>
    <w:rsid w:val="00785C65"/>
    <w:rsid w:val="00785EA4"/>
    <w:rsid w:val="00787615"/>
    <w:rsid w:val="0078788C"/>
    <w:rsid w:val="00787A99"/>
    <w:rsid w:val="00790092"/>
    <w:rsid w:val="00790A84"/>
    <w:rsid w:val="00792AFB"/>
    <w:rsid w:val="00792BA2"/>
    <w:rsid w:val="00793454"/>
    <w:rsid w:val="00793475"/>
    <w:rsid w:val="00793793"/>
    <w:rsid w:val="00793A15"/>
    <w:rsid w:val="00793F08"/>
    <w:rsid w:val="0079409D"/>
    <w:rsid w:val="007954B9"/>
    <w:rsid w:val="00795DC9"/>
    <w:rsid w:val="007965FB"/>
    <w:rsid w:val="00796706"/>
    <w:rsid w:val="00796C46"/>
    <w:rsid w:val="0079719F"/>
    <w:rsid w:val="007A040D"/>
    <w:rsid w:val="007A05C9"/>
    <w:rsid w:val="007A08BD"/>
    <w:rsid w:val="007A0CDA"/>
    <w:rsid w:val="007A1AEC"/>
    <w:rsid w:val="007A4EBD"/>
    <w:rsid w:val="007A62C6"/>
    <w:rsid w:val="007A77F0"/>
    <w:rsid w:val="007A7E11"/>
    <w:rsid w:val="007B0465"/>
    <w:rsid w:val="007B1848"/>
    <w:rsid w:val="007B2397"/>
    <w:rsid w:val="007B28D9"/>
    <w:rsid w:val="007B301F"/>
    <w:rsid w:val="007B382C"/>
    <w:rsid w:val="007B5A25"/>
    <w:rsid w:val="007B5EC2"/>
    <w:rsid w:val="007B6167"/>
    <w:rsid w:val="007B6C92"/>
    <w:rsid w:val="007B758C"/>
    <w:rsid w:val="007C048D"/>
    <w:rsid w:val="007C1B4C"/>
    <w:rsid w:val="007C3855"/>
    <w:rsid w:val="007C4361"/>
    <w:rsid w:val="007C44DF"/>
    <w:rsid w:val="007C4E4F"/>
    <w:rsid w:val="007C5381"/>
    <w:rsid w:val="007C6AE4"/>
    <w:rsid w:val="007C7D5F"/>
    <w:rsid w:val="007D0552"/>
    <w:rsid w:val="007D0996"/>
    <w:rsid w:val="007D248C"/>
    <w:rsid w:val="007D2B53"/>
    <w:rsid w:val="007D315E"/>
    <w:rsid w:val="007D4B7A"/>
    <w:rsid w:val="007D4C7A"/>
    <w:rsid w:val="007D4FCF"/>
    <w:rsid w:val="007D5B4C"/>
    <w:rsid w:val="007D7932"/>
    <w:rsid w:val="007E0DA1"/>
    <w:rsid w:val="007E0E24"/>
    <w:rsid w:val="007E26CB"/>
    <w:rsid w:val="007E2C21"/>
    <w:rsid w:val="007E33FC"/>
    <w:rsid w:val="007E34A2"/>
    <w:rsid w:val="007E5767"/>
    <w:rsid w:val="007E5DDA"/>
    <w:rsid w:val="007E7696"/>
    <w:rsid w:val="007E7BD8"/>
    <w:rsid w:val="007F0AF8"/>
    <w:rsid w:val="007F1A4C"/>
    <w:rsid w:val="007F214F"/>
    <w:rsid w:val="007F22D0"/>
    <w:rsid w:val="007F2672"/>
    <w:rsid w:val="007F29A7"/>
    <w:rsid w:val="007F2E70"/>
    <w:rsid w:val="00800A45"/>
    <w:rsid w:val="00800B1F"/>
    <w:rsid w:val="008011E0"/>
    <w:rsid w:val="0080160F"/>
    <w:rsid w:val="00801C83"/>
    <w:rsid w:val="00802AD6"/>
    <w:rsid w:val="008034D3"/>
    <w:rsid w:val="00803C32"/>
    <w:rsid w:val="00804793"/>
    <w:rsid w:val="00804A4B"/>
    <w:rsid w:val="008058D0"/>
    <w:rsid w:val="00805D97"/>
    <w:rsid w:val="00806001"/>
    <w:rsid w:val="00806C0E"/>
    <w:rsid w:val="00807AF9"/>
    <w:rsid w:val="008100F7"/>
    <w:rsid w:val="008108DB"/>
    <w:rsid w:val="00811C96"/>
    <w:rsid w:val="00811CF9"/>
    <w:rsid w:val="00813EB1"/>
    <w:rsid w:val="008148A7"/>
    <w:rsid w:val="008154FE"/>
    <w:rsid w:val="00815656"/>
    <w:rsid w:val="008160DE"/>
    <w:rsid w:val="008162BB"/>
    <w:rsid w:val="00817DE6"/>
    <w:rsid w:val="00817FE8"/>
    <w:rsid w:val="00820A19"/>
    <w:rsid w:val="00820DA7"/>
    <w:rsid w:val="00821094"/>
    <w:rsid w:val="008221BD"/>
    <w:rsid w:val="00822A0B"/>
    <w:rsid w:val="00822A1E"/>
    <w:rsid w:val="00823247"/>
    <w:rsid w:val="0082413F"/>
    <w:rsid w:val="0082532A"/>
    <w:rsid w:val="00826747"/>
    <w:rsid w:val="008300F0"/>
    <w:rsid w:val="00831565"/>
    <w:rsid w:val="00831A94"/>
    <w:rsid w:val="00831D58"/>
    <w:rsid w:val="00832565"/>
    <w:rsid w:val="0083262F"/>
    <w:rsid w:val="0083314A"/>
    <w:rsid w:val="008331DA"/>
    <w:rsid w:val="008346CC"/>
    <w:rsid w:val="00834B61"/>
    <w:rsid w:val="00834BF2"/>
    <w:rsid w:val="008352D9"/>
    <w:rsid w:val="00836805"/>
    <w:rsid w:val="00836AE5"/>
    <w:rsid w:val="00836F5F"/>
    <w:rsid w:val="008370C5"/>
    <w:rsid w:val="008372F5"/>
    <w:rsid w:val="008406EC"/>
    <w:rsid w:val="00840F49"/>
    <w:rsid w:val="00841EE4"/>
    <w:rsid w:val="00842565"/>
    <w:rsid w:val="00842EF0"/>
    <w:rsid w:val="00842F74"/>
    <w:rsid w:val="00843307"/>
    <w:rsid w:val="00844043"/>
    <w:rsid w:val="00844AC6"/>
    <w:rsid w:val="00845BBD"/>
    <w:rsid w:val="0084607D"/>
    <w:rsid w:val="00847075"/>
    <w:rsid w:val="0085005D"/>
    <w:rsid w:val="00850EB7"/>
    <w:rsid w:val="0085121C"/>
    <w:rsid w:val="00851518"/>
    <w:rsid w:val="00851D44"/>
    <w:rsid w:val="00852F1C"/>
    <w:rsid w:val="008539B4"/>
    <w:rsid w:val="00853DA7"/>
    <w:rsid w:val="00855287"/>
    <w:rsid w:val="00855391"/>
    <w:rsid w:val="00855781"/>
    <w:rsid w:val="00855C22"/>
    <w:rsid w:val="00856A8F"/>
    <w:rsid w:val="00856DD4"/>
    <w:rsid w:val="00860749"/>
    <w:rsid w:val="008608C4"/>
    <w:rsid w:val="00860985"/>
    <w:rsid w:val="00860E07"/>
    <w:rsid w:val="0086112B"/>
    <w:rsid w:val="00861ACE"/>
    <w:rsid w:val="008625D8"/>
    <w:rsid w:val="0086305E"/>
    <w:rsid w:val="00863133"/>
    <w:rsid w:val="00863A4D"/>
    <w:rsid w:val="008642AD"/>
    <w:rsid w:val="00864367"/>
    <w:rsid w:val="008647A7"/>
    <w:rsid w:val="008647F4"/>
    <w:rsid w:val="00865203"/>
    <w:rsid w:val="00865A47"/>
    <w:rsid w:val="00870074"/>
    <w:rsid w:val="00870397"/>
    <w:rsid w:val="00870706"/>
    <w:rsid w:val="00870707"/>
    <w:rsid w:val="008708CF"/>
    <w:rsid w:val="0087140F"/>
    <w:rsid w:val="008714D2"/>
    <w:rsid w:val="00871F7C"/>
    <w:rsid w:val="008721ED"/>
    <w:rsid w:val="00872D3D"/>
    <w:rsid w:val="00872F7D"/>
    <w:rsid w:val="00874913"/>
    <w:rsid w:val="0087518B"/>
    <w:rsid w:val="0087522B"/>
    <w:rsid w:val="00876678"/>
    <w:rsid w:val="00876822"/>
    <w:rsid w:val="00877919"/>
    <w:rsid w:val="0088016F"/>
    <w:rsid w:val="0088081F"/>
    <w:rsid w:val="0088098B"/>
    <w:rsid w:val="00881C4F"/>
    <w:rsid w:val="00881E01"/>
    <w:rsid w:val="00881E59"/>
    <w:rsid w:val="00883A05"/>
    <w:rsid w:val="008847F0"/>
    <w:rsid w:val="008855E7"/>
    <w:rsid w:val="00886392"/>
    <w:rsid w:val="00886A0F"/>
    <w:rsid w:val="008872E1"/>
    <w:rsid w:val="008874D3"/>
    <w:rsid w:val="00890823"/>
    <w:rsid w:val="0089180F"/>
    <w:rsid w:val="00891B58"/>
    <w:rsid w:val="00893BBC"/>
    <w:rsid w:val="00894AD0"/>
    <w:rsid w:val="00895949"/>
    <w:rsid w:val="00897700"/>
    <w:rsid w:val="00897C70"/>
    <w:rsid w:val="00897C7D"/>
    <w:rsid w:val="00897C8F"/>
    <w:rsid w:val="00897F29"/>
    <w:rsid w:val="008A0159"/>
    <w:rsid w:val="008A03F3"/>
    <w:rsid w:val="008A1415"/>
    <w:rsid w:val="008A1959"/>
    <w:rsid w:val="008A2520"/>
    <w:rsid w:val="008A4124"/>
    <w:rsid w:val="008A5159"/>
    <w:rsid w:val="008A57A0"/>
    <w:rsid w:val="008A5A50"/>
    <w:rsid w:val="008A5E5E"/>
    <w:rsid w:val="008A65E7"/>
    <w:rsid w:val="008B02A4"/>
    <w:rsid w:val="008B0672"/>
    <w:rsid w:val="008B0BED"/>
    <w:rsid w:val="008B1F19"/>
    <w:rsid w:val="008B1F9A"/>
    <w:rsid w:val="008B21BD"/>
    <w:rsid w:val="008B25F2"/>
    <w:rsid w:val="008B268E"/>
    <w:rsid w:val="008B2CDB"/>
    <w:rsid w:val="008B33E6"/>
    <w:rsid w:val="008B3F10"/>
    <w:rsid w:val="008B51E4"/>
    <w:rsid w:val="008B5242"/>
    <w:rsid w:val="008B5B7B"/>
    <w:rsid w:val="008B7189"/>
    <w:rsid w:val="008B758D"/>
    <w:rsid w:val="008B7B5E"/>
    <w:rsid w:val="008B7F8B"/>
    <w:rsid w:val="008C0147"/>
    <w:rsid w:val="008C0663"/>
    <w:rsid w:val="008C0EA1"/>
    <w:rsid w:val="008C0F39"/>
    <w:rsid w:val="008C182A"/>
    <w:rsid w:val="008C2EFC"/>
    <w:rsid w:val="008C45C5"/>
    <w:rsid w:val="008C4909"/>
    <w:rsid w:val="008C4D46"/>
    <w:rsid w:val="008C5C3F"/>
    <w:rsid w:val="008C5EC1"/>
    <w:rsid w:val="008C65C6"/>
    <w:rsid w:val="008C65F1"/>
    <w:rsid w:val="008C69D8"/>
    <w:rsid w:val="008C6D5F"/>
    <w:rsid w:val="008C6DE4"/>
    <w:rsid w:val="008C6E4C"/>
    <w:rsid w:val="008C7966"/>
    <w:rsid w:val="008C7ECC"/>
    <w:rsid w:val="008D0B69"/>
    <w:rsid w:val="008D1A71"/>
    <w:rsid w:val="008D35C3"/>
    <w:rsid w:val="008D40C1"/>
    <w:rsid w:val="008D5287"/>
    <w:rsid w:val="008D57BA"/>
    <w:rsid w:val="008D5F71"/>
    <w:rsid w:val="008D658C"/>
    <w:rsid w:val="008D6D8D"/>
    <w:rsid w:val="008D72F1"/>
    <w:rsid w:val="008D76B8"/>
    <w:rsid w:val="008E004F"/>
    <w:rsid w:val="008E06CE"/>
    <w:rsid w:val="008E182F"/>
    <w:rsid w:val="008E253A"/>
    <w:rsid w:val="008E25F3"/>
    <w:rsid w:val="008E2644"/>
    <w:rsid w:val="008E26DF"/>
    <w:rsid w:val="008E2936"/>
    <w:rsid w:val="008E29ED"/>
    <w:rsid w:val="008E3BC8"/>
    <w:rsid w:val="008E3F2B"/>
    <w:rsid w:val="008E4632"/>
    <w:rsid w:val="008E4973"/>
    <w:rsid w:val="008E56DE"/>
    <w:rsid w:val="008E584C"/>
    <w:rsid w:val="008E5B11"/>
    <w:rsid w:val="008E6B59"/>
    <w:rsid w:val="008E7A3A"/>
    <w:rsid w:val="008F009A"/>
    <w:rsid w:val="008F088B"/>
    <w:rsid w:val="008F157D"/>
    <w:rsid w:val="008F1709"/>
    <w:rsid w:val="008F2595"/>
    <w:rsid w:val="008F25B8"/>
    <w:rsid w:val="008F2A86"/>
    <w:rsid w:val="008F2FBC"/>
    <w:rsid w:val="008F38AB"/>
    <w:rsid w:val="008F3F33"/>
    <w:rsid w:val="008F43DB"/>
    <w:rsid w:val="008F4594"/>
    <w:rsid w:val="008F4A01"/>
    <w:rsid w:val="008F53A9"/>
    <w:rsid w:val="008F55EA"/>
    <w:rsid w:val="008F5E6A"/>
    <w:rsid w:val="008F61AA"/>
    <w:rsid w:val="008F67AA"/>
    <w:rsid w:val="009003BA"/>
    <w:rsid w:val="009003E0"/>
    <w:rsid w:val="0090072E"/>
    <w:rsid w:val="009012F0"/>
    <w:rsid w:val="009014DF"/>
    <w:rsid w:val="00901FED"/>
    <w:rsid w:val="009020FC"/>
    <w:rsid w:val="0090308F"/>
    <w:rsid w:val="00903584"/>
    <w:rsid w:val="0090475E"/>
    <w:rsid w:val="009059CB"/>
    <w:rsid w:val="0090607E"/>
    <w:rsid w:val="00906BC4"/>
    <w:rsid w:val="00906D59"/>
    <w:rsid w:val="009071CA"/>
    <w:rsid w:val="00907384"/>
    <w:rsid w:val="009077FD"/>
    <w:rsid w:val="009079B3"/>
    <w:rsid w:val="00907AAD"/>
    <w:rsid w:val="0091095F"/>
    <w:rsid w:val="00910E70"/>
    <w:rsid w:val="00912CB2"/>
    <w:rsid w:val="00912D62"/>
    <w:rsid w:val="009130B4"/>
    <w:rsid w:val="009135DB"/>
    <w:rsid w:val="00915E3D"/>
    <w:rsid w:val="00915E9D"/>
    <w:rsid w:val="009163D7"/>
    <w:rsid w:val="00916F4E"/>
    <w:rsid w:val="009173BD"/>
    <w:rsid w:val="00917AAF"/>
    <w:rsid w:val="00920F87"/>
    <w:rsid w:val="00922690"/>
    <w:rsid w:val="0092291A"/>
    <w:rsid w:val="0092472C"/>
    <w:rsid w:val="009258A3"/>
    <w:rsid w:val="00925D80"/>
    <w:rsid w:val="00926F9B"/>
    <w:rsid w:val="009276E5"/>
    <w:rsid w:val="009278E9"/>
    <w:rsid w:val="009300DB"/>
    <w:rsid w:val="00930359"/>
    <w:rsid w:val="00930389"/>
    <w:rsid w:val="009308FF"/>
    <w:rsid w:val="00931C03"/>
    <w:rsid w:val="00931D5A"/>
    <w:rsid w:val="009320AF"/>
    <w:rsid w:val="009320C3"/>
    <w:rsid w:val="009323EC"/>
    <w:rsid w:val="0093329E"/>
    <w:rsid w:val="009332A9"/>
    <w:rsid w:val="009332DC"/>
    <w:rsid w:val="00933342"/>
    <w:rsid w:val="00934968"/>
    <w:rsid w:val="009349AF"/>
    <w:rsid w:val="00935118"/>
    <w:rsid w:val="009356D6"/>
    <w:rsid w:val="0093697D"/>
    <w:rsid w:val="00937DB3"/>
    <w:rsid w:val="00940E90"/>
    <w:rsid w:val="00942491"/>
    <w:rsid w:val="00943A1A"/>
    <w:rsid w:val="00944B4F"/>
    <w:rsid w:val="00946E72"/>
    <w:rsid w:val="00951533"/>
    <w:rsid w:val="00951A4C"/>
    <w:rsid w:val="00951CB2"/>
    <w:rsid w:val="00952902"/>
    <w:rsid w:val="009543EA"/>
    <w:rsid w:val="009559D0"/>
    <w:rsid w:val="009565A0"/>
    <w:rsid w:val="00956AF1"/>
    <w:rsid w:val="009576DC"/>
    <w:rsid w:val="00957813"/>
    <w:rsid w:val="00957B39"/>
    <w:rsid w:val="0096043D"/>
    <w:rsid w:val="00960ED5"/>
    <w:rsid w:val="00961161"/>
    <w:rsid w:val="009636BE"/>
    <w:rsid w:val="00963ABE"/>
    <w:rsid w:val="00963EAD"/>
    <w:rsid w:val="00963F40"/>
    <w:rsid w:val="009640F8"/>
    <w:rsid w:val="009651EE"/>
    <w:rsid w:val="00965725"/>
    <w:rsid w:val="00966D67"/>
    <w:rsid w:val="009670F9"/>
    <w:rsid w:val="0096725F"/>
    <w:rsid w:val="00967450"/>
    <w:rsid w:val="009701EB"/>
    <w:rsid w:val="009708E8"/>
    <w:rsid w:val="00970BC6"/>
    <w:rsid w:val="00971C44"/>
    <w:rsid w:val="00971E2F"/>
    <w:rsid w:val="00971E46"/>
    <w:rsid w:val="00971E9D"/>
    <w:rsid w:val="00972ED2"/>
    <w:rsid w:val="00973BFD"/>
    <w:rsid w:val="00974DC9"/>
    <w:rsid w:val="00974E51"/>
    <w:rsid w:val="00975236"/>
    <w:rsid w:val="00976014"/>
    <w:rsid w:val="00976163"/>
    <w:rsid w:val="0097645A"/>
    <w:rsid w:val="00976FDB"/>
    <w:rsid w:val="0097702E"/>
    <w:rsid w:val="00977EA7"/>
    <w:rsid w:val="00980E66"/>
    <w:rsid w:val="00981380"/>
    <w:rsid w:val="00981899"/>
    <w:rsid w:val="00981988"/>
    <w:rsid w:val="00981C77"/>
    <w:rsid w:val="00981F98"/>
    <w:rsid w:val="0098219E"/>
    <w:rsid w:val="00982252"/>
    <w:rsid w:val="00982765"/>
    <w:rsid w:val="00982AF1"/>
    <w:rsid w:val="009846E3"/>
    <w:rsid w:val="009857D7"/>
    <w:rsid w:val="00985937"/>
    <w:rsid w:val="00985BB1"/>
    <w:rsid w:val="00985C65"/>
    <w:rsid w:val="00985D29"/>
    <w:rsid w:val="00986DF8"/>
    <w:rsid w:val="009873B5"/>
    <w:rsid w:val="00987F2D"/>
    <w:rsid w:val="00992188"/>
    <w:rsid w:val="00992303"/>
    <w:rsid w:val="00992964"/>
    <w:rsid w:val="009930B3"/>
    <w:rsid w:val="00993AD9"/>
    <w:rsid w:val="009947E8"/>
    <w:rsid w:val="00995515"/>
    <w:rsid w:val="009969C0"/>
    <w:rsid w:val="00996F65"/>
    <w:rsid w:val="0099770D"/>
    <w:rsid w:val="009A0052"/>
    <w:rsid w:val="009A0FA1"/>
    <w:rsid w:val="009A1291"/>
    <w:rsid w:val="009A1EFA"/>
    <w:rsid w:val="009A3787"/>
    <w:rsid w:val="009A4ABB"/>
    <w:rsid w:val="009A5227"/>
    <w:rsid w:val="009A5A84"/>
    <w:rsid w:val="009A5F07"/>
    <w:rsid w:val="009A67ED"/>
    <w:rsid w:val="009A6890"/>
    <w:rsid w:val="009A72B5"/>
    <w:rsid w:val="009A7AA4"/>
    <w:rsid w:val="009B04BD"/>
    <w:rsid w:val="009B05F9"/>
    <w:rsid w:val="009B2564"/>
    <w:rsid w:val="009B25C5"/>
    <w:rsid w:val="009B3D5D"/>
    <w:rsid w:val="009B58AF"/>
    <w:rsid w:val="009B623C"/>
    <w:rsid w:val="009B6746"/>
    <w:rsid w:val="009B6CFF"/>
    <w:rsid w:val="009B6F37"/>
    <w:rsid w:val="009B7AFF"/>
    <w:rsid w:val="009C111E"/>
    <w:rsid w:val="009C2A02"/>
    <w:rsid w:val="009C2D95"/>
    <w:rsid w:val="009C382A"/>
    <w:rsid w:val="009C3C77"/>
    <w:rsid w:val="009C4B24"/>
    <w:rsid w:val="009C51F6"/>
    <w:rsid w:val="009C63DD"/>
    <w:rsid w:val="009C7BC9"/>
    <w:rsid w:val="009C7F73"/>
    <w:rsid w:val="009D0D47"/>
    <w:rsid w:val="009D10C1"/>
    <w:rsid w:val="009D1713"/>
    <w:rsid w:val="009D1884"/>
    <w:rsid w:val="009D1EA3"/>
    <w:rsid w:val="009D27A6"/>
    <w:rsid w:val="009D3DF8"/>
    <w:rsid w:val="009D490C"/>
    <w:rsid w:val="009D5AE5"/>
    <w:rsid w:val="009D6D4B"/>
    <w:rsid w:val="009D6E93"/>
    <w:rsid w:val="009D7289"/>
    <w:rsid w:val="009D78DE"/>
    <w:rsid w:val="009D7C4F"/>
    <w:rsid w:val="009E04C9"/>
    <w:rsid w:val="009E167D"/>
    <w:rsid w:val="009E379A"/>
    <w:rsid w:val="009E4131"/>
    <w:rsid w:val="009E48C9"/>
    <w:rsid w:val="009E495C"/>
    <w:rsid w:val="009E5294"/>
    <w:rsid w:val="009E5987"/>
    <w:rsid w:val="009E7B2F"/>
    <w:rsid w:val="009F116C"/>
    <w:rsid w:val="009F17AD"/>
    <w:rsid w:val="009F1A23"/>
    <w:rsid w:val="009F3EA9"/>
    <w:rsid w:val="009F419E"/>
    <w:rsid w:val="009F4D32"/>
    <w:rsid w:val="009F58A5"/>
    <w:rsid w:val="009F741C"/>
    <w:rsid w:val="00A000CC"/>
    <w:rsid w:val="00A004D9"/>
    <w:rsid w:val="00A01422"/>
    <w:rsid w:val="00A01824"/>
    <w:rsid w:val="00A02F30"/>
    <w:rsid w:val="00A045D8"/>
    <w:rsid w:val="00A051A9"/>
    <w:rsid w:val="00A059D5"/>
    <w:rsid w:val="00A05D86"/>
    <w:rsid w:val="00A06957"/>
    <w:rsid w:val="00A07171"/>
    <w:rsid w:val="00A10A21"/>
    <w:rsid w:val="00A11706"/>
    <w:rsid w:val="00A11D39"/>
    <w:rsid w:val="00A12CFD"/>
    <w:rsid w:val="00A1387C"/>
    <w:rsid w:val="00A13B1B"/>
    <w:rsid w:val="00A14485"/>
    <w:rsid w:val="00A151F7"/>
    <w:rsid w:val="00A1546A"/>
    <w:rsid w:val="00A15B28"/>
    <w:rsid w:val="00A160CC"/>
    <w:rsid w:val="00A1631D"/>
    <w:rsid w:val="00A1676D"/>
    <w:rsid w:val="00A16D73"/>
    <w:rsid w:val="00A16D98"/>
    <w:rsid w:val="00A1718B"/>
    <w:rsid w:val="00A209C9"/>
    <w:rsid w:val="00A21907"/>
    <w:rsid w:val="00A21DD3"/>
    <w:rsid w:val="00A22B79"/>
    <w:rsid w:val="00A22CFF"/>
    <w:rsid w:val="00A230E6"/>
    <w:rsid w:val="00A24ECB"/>
    <w:rsid w:val="00A25785"/>
    <w:rsid w:val="00A25DD8"/>
    <w:rsid w:val="00A25E8F"/>
    <w:rsid w:val="00A27458"/>
    <w:rsid w:val="00A30C1B"/>
    <w:rsid w:val="00A3158B"/>
    <w:rsid w:val="00A322B1"/>
    <w:rsid w:val="00A332FB"/>
    <w:rsid w:val="00A33FD0"/>
    <w:rsid w:val="00A33FDC"/>
    <w:rsid w:val="00A34DB0"/>
    <w:rsid w:val="00A35CCF"/>
    <w:rsid w:val="00A36ABF"/>
    <w:rsid w:val="00A372D9"/>
    <w:rsid w:val="00A401A0"/>
    <w:rsid w:val="00A41FCC"/>
    <w:rsid w:val="00A422B1"/>
    <w:rsid w:val="00A42882"/>
    <w:rsid w:val="00A43D22"/>
    <w:rsid w:val="00A44DDF"/>
    <w:rsid w:val="00A44F4A"/>
    <w:rsid w:val="00A45362"/>
    <w:rsid w:val="00A454A6"/>
    <w:rsid w:val="00A45FD9"/>
    <w:rsid w:val="00A47B78"/>
    <w:rsid w:val="00A47E8B"/>
    <w:rsid w:val="00A5126E"/>
    <w:rsid w:val="00A51FD6"/>
    <w:rsid w:val="00A5398C"/>
    <w:rsid w:val="00A53B8B"/>
    <w:rsid w:val="00A53E21"/>
    <w:rsid w:val="00A54DFA"/>
    <w:rsid w:val="00A55CD0"/>
    <w:rsid w:val="00A56186"/>
    <w:rsid w:val="00A56599"/>
    <w:rsid w:val="00A572DD"/>
    <w:rsid w:val="00A57FE5"/>
    <w:rsid w:val="00A57FF0"/>
    <w:rsid w:val="00A60091"/>
    <w:rsid w:val="00A61186"/>
    <w:rsid w:val="00A62733"/>
    <w:rsid w:val="00A6284A"/>
    <w:rsid w:val="00A63C68"/>
    <w:rsid w:val="00A641A2"/>
    <w:rsid w:val="00A65271"/>
    <w:rsid w:val="00A66109"/>
    <w:rsid w:val="00A66B37"/>
    <w:rsid w:val="00A67700"/>
    <w:rsid w:val="00A67780"/>
    <w:rsid w:val="00A67ABC"/>
    <w:rsid w:val="00A67CD8"/>
    <w:rsid w:val="00A70761"/>
    <w:rsid w:val="00A71657"/>
    <w:rsid w:val="00A72CE5"/>
    <w:rsid w:val="00A72D44"/>
    <w:rsid w:val="00A7301A"/>
    <w:rsid w:val="00A742E6"/>
    <w:rsid w:val="00A74661"/>
    <w:rsid w:val="00A753A5"/>
    <w:rsid w:val="00A75DBB"/>
    <w:rsid w:val="00A76510"/>
    <w:rsid w:val="00A7688C"/>
    <w:rsid w:val="00A77D3F"/>
    <w:rsid w:val="00A80E26"/>
    <w:rsid w:val="00A80EF8"/>
    <w:rsid w:val="00A815A2"/>
    <w:rsid w:val="00A81996"/>
    <w:rsid w:val="00A81E0D"/>
    <w:rsid w:val="00A82893"/>
    <w:rsid w:val="00A844BF"/>
    <w:rsid w:val="00A850B8"/>
    <w:rsid w:val="00A85888"/>
    <w:rsid w:val="00A85E02"/>
    <w:rsid w:val="00A8661B"/>
    <w:rsid w:val="00A86842"/>
    <w:rsid w:val="00A87C98"/>
    <w:rsid w:val="00A87D9E"/>
    <w:rsid w:val="00A90314"/>
    <w:rsid w:val="00A9049B"/>
    <w:rsid w:val="00A90F72"/>
    <w:rsid w:val="00A9188D"/>
    <w:rsid w:val="00A918AF"/>
    <w:rsid w:val="00A91B1C"/>
    <w:rsid w:val="00A922D1"/>
    <w:rsid w:val="00A93139"/>
    <w:rsid w:val="00A9386B"/>
    <w:rsid w:val="00A938D1"/>
    <w:rsid w:val="00A94D42"/>
    <w:rsid w:val="00A955BD"/>
    <w:rsid w:val="00A961C6"/>
    <w:rsid w:val="00A967EF"/>
    <w:rsid w:val="00A96D05"/>
    <w:rsid w:val="00A9734F"/>
    <w:rsid w:val="00AA03BD"/>
    <w:rsid w:val="00AA0904"/>
    <w:rsid w:val="00AA0BA3"/>
    <w:rsid w:val="00AA15FD"/>
    <w:rsid w:val="00AA1A2D"/>
    <w:rsid w:val="00AA1EAF"/>
    <w:rsid w:val="00AA2538"/>
    <w:rsid w:val="00AA2A61"/>
    <w:rsid w:val="00AA2F45"/>
    <w:rsid w:val="00AA3F5C"/>
    <w:rsid w:val="00AA52DA"/>
    <w:rsid w:val="00AA6000"/>
    <w:rsid w:val="00AA74B1"/>
    <w:rsid w:val="00AB0E09"/>
    <w:rsid w:val="00AB175E"/>
    <w:rsid w:val="00AB2A56"/>
    <w:rsid w:val="00AB2D3A"/>
    <w:rsid w:val="00AB303A"/>
    <w:rsid w:val="00AB35C1"/>
    <w:rsid w:val="00AB3649"/>
    <w:rsid w:val="00AB3888"/>
    <w:rsid w:val="00AB3A22"/>
    <w:rsid w:val="00AB404C"/>
    <w:rsid w:val="00AB4D1B"/>
    <w:rsid w:val="00AB4D9A"/>
    <w:rsid w:val="00AB580B"/>
    <w:rsid w:val="00AB6282"/>
    <w:rsid w:val="00AB679D"/>
    <w:rsid w:val="00AC0011"/>
    <w:rsid w:val="00AC2E16"/>
    <w:rsid w:val="00AC3DF6"/>
    <w:rsid w:val="00AC49B9"/>
    <w:rsid w:val="00AC4E31"/>
    <w:rsid w:val="00AC50B1"/>
    <w:rsid w:val="00AC5197"/>
    <w:rsid w:val="00AC5477"/>
    <w:rsid w:val="00AC5F2E"/>
    <w:rsid w:val="00AC6295"/>
    <w:rsid w:val="00AC6D53"/>
    <w:rsid w:val="00AC6D59"/>
    <w:rsid w:val="00AC7DA8"/>
    <w:rsid w:val="00AD04AF"/>
    <w:rsid w:val="00AD0A5C"/>
    <w:rsid w:val="00AD0AAD"/>
    <w:rsid w:val="00AD1C55"/>
    <w:rsid w:val="00AD23A7"/>
    <w:rsid w:val="00AD2434"/>
    <w:rsid w:val="00AD2F9D"/>
    <w:rsid w:val="00AD335A"/>
    <w:rsid w:val="00AD36B9"/>
    <w:rsid w:val="00AD4A0F"/>
    <w:rsid w:val="00AD56B1"/>
    <w:rsid w:val="00AD5F16"/>
    <w:rsid w:val="00AD5F50"/>
    <w:rsid w:val="00AD647E"/>
    <w:rsid w:val="00AE0026"/>
    <w:rsid w:val="00AE0EEA"/>
    <w:rsid w:val="00AE137B"/>
    <w:rsid w:val="00AE166E"/>
    <w:rsid w:val="00AE2E8E"/>
    <w:rsid w:val="00AE34C8"/>
    <w:rsid w:val="00AE385F"/>
    <w:rsid w:val="00AE46F3"/>
    <w:rsid w:val="00AE58E3"/>
    <w:rsid w:val="00AE5DCC"/>
    <w:rsid w:val="00AE61E0"/>
    <w:rsid w:val="00AE62B5"/>
    <w:rsid w:val="00AE7962"/>
    <w:rsid w:val="00AF12EA"/>
    <w:rsid w:val="00AF191B"/>
    <w:rsid w:val="00AF1A14"/>
    <w:rsid w:val="00AF1EB8"/>
    <w:rsid w:val="00AF2328"/>
    <w:rsid w:val="00AF2AA2"/>
    <w:rsid w:val="00AF2ED7"/>
    <w:rsid w:val="00AF30F2"/>
    <w:rsid w:val="00AF3B2C"/>
    <w:rsid w:val="00AF656C"/>
    <w:rsid w:val="00AF709F"/>
    <w:rsid w:val="00B0068A"/>
    <w:rsid w:val="00B029C0"/>
    <w:rsid w:val="00B03D5E"/>
    <w:rsid w:val="00B0442B"/>
    <w:rsid w:val="00B04942"/>
    <w:rsid w:val="00B04C18"/>
    <w:rsid w:val="00B05A58"/>
    <w:rsid w:val="00B06285"/>
    <w:rsid w:val="00B06ACF"/>
    <w:rsid w:val="00B06D35"/>
    <w:rsid w:val="00B101F5"/>
    <w:rsid w:val="00B1094E"/>
    <w:rsid w:val="00B10D81"/>
    <w:rsid w:val="00B110FC"/>
    <w:rsid w:val="00B116F2"/>
    <w:rsid w:val="00B12D48"/>
    <w:rsid w:val="00B133ED"/>
    <w:rsid w:val="00B1340D"/>
    <w:rsid w:val="00B1383E"/>
    <w:rsid w:val="00B15586"/>
    <w:rsid w:val="00B164EA"/>
    <w:rsid w:val="00B16720"/>
    <w:rsid w:val="00B16CDA"/>
    <w:rsid w:val="00B16EBA"/>
    <w:rsid w:val="00B174A8"/>
    <w:rsid w:val="00B206FB"/>
    <w:rsid w:val="00B212E8"/>
    <w:rsid w:val="00B2152D"/>
    <w:rsid w:val="00B21B6E"/>
    <w:rsid w:val="00B2245A"/>
    <w:rsid w:val="00B226BF"/>
    <w:rsid w:val="00B22B51"/>
    <w:rsid w:val="00B2368E"/>
    <w:rsid w:val="00B25156"/>
    <w:rsid w:val="00B25832"/>
    <w:rsid w:val="00B25D39"/>
    <w:rsid w:val="00B260E8"/>
    <w:rsid w:val="00B263CF"/>
    <w:rsid w:val="00B30511"/>
    <w:rsid w:val="00B32377"/>
    <w:rsid w:val="00B330C2"/>
    <w:rsid w:val="00B33105"/>
    <w:rsid w:val="00B3339C"/>
    <w:rsid w:val="00B33B1D"/>
    <w:rsid w:val="00B34027"/>
    <w:rsid w:val="00B34246"/>
    <w:rsid w:val="00B34681"/>
    <w:rsid w:val="00B34A4E"/>
    <w:rsid w:val="00B34DA0"/>
    <w:rsid w:val="00B36D5E"/>
    <w:rsid w:val="00B36F25"/>
    <w:rsid w:val="00B37EEC"/>
    <w:rsid w:val="00B40045"/>
    <w:rsid w:val="00B4008C"/>
    <w:rsid w:val="00B40416"/>
    <w:rsid w:val="00B41529"/>
    <w:rsid w:val="00B42BB0"/>
    <w:rsid w:val="00B42C2D"/>
    <w:rsid w:val="00B43702"/>
    <w:rsid w:val="00B43C14"/>
    <w:rsid w:val="00B4427A"/>
    <w:rsid w:val="00B4530F"/>
    <w:rsid w:val="00B45EF9"/>
    <w:rsid w:val="00B45F8A"/>
    <w:rsid w:val="00B460EC"/>
    <w:rsid w:val="00B46700"/>
    <w:rsid w:val="00B46BBA"/>
    <w:rsid w:val="00B46ECD"/>
    <w:rsid w:val="00B472EB"/>
    <w:rsid w:val="00B5011C"/>
    <w:rsid w:val="00B50486"/>
    <w:rsid w:val="00B50A21"/>
    <w:rsid w:val="00B51DA4"/>
    <w:rsid w:val="00B5420C"/>
    <w:rsid w:val="00B54510"/>
    <w:rsid w:val="00B550B5"/>
    <w:rsid w:val="00B55661"/>
    <w:rsid w:val="00B5599F"/>
    <w:rsid w:val="00B55E54"/>
    <w:rsid w:val="00B55E91"/>
    <w:rsid w:val="00B56412"/>
    <w:rsid w:val="00B56EEE"/>
    <w:rsid w:val="00B57218"/>
    <w:rsid w:val="00B60596"/>
    <w:rsid w:val="00B60DB0"/>
    <w:rsid w:val="00B61048"/>
    <w:rsid w:val="00B61A8C"/>
    <w:rsid w:val="00B62026"/>
    <w:rsid w:val="00B62084"/>
    <w:rsid w:val="00B624A9"/>
    <w:rsid w:val="00B63005"/>
    <w:rsid w:val="00B63706"/>
    <w:rsid w:val="00B637AA"/>
    <w:rsid w:val="00B63F8D"/>
    <w:rsid w:val="00B66DF8"/>
    <w:rsid w:val="00B67E53"/>
    <w:rsid w:val="00B70461"/>
    <w:rsid w:val="00B7054C"/>
    <w:rsid w:val="00B70AF4"/>
    <w:rsid w:val="00B7139A"/>
    <w:rsid w:val="00B714DA"/>
    <w:rsid w:val="00B71F74"/>
    <w:rsid w:val="00B71F8E"/>
    <w:rsid w:val="00B722C5"/>
    <w:rsid w:val="00B731EA"/>
    <w:rsid w:val="00B73C78"/>
    <w:rsid w:val="00B73EA5"/>
    <w:rsid w:val="00B7517C"/>
    <w:rsid w:val="00B75372"/>
    <w:rsid w:val="00B75471"/>
    <w:rsid w:val="00B75DD0"/>
    <w:rsid w:val="00B761C1"/>
    <w:rsid w:val="00B76FF0"/>
    <w:rsid w:val="00B77978"/>
    <w:rsid w:val="00B81004"/>
    <w:rsid w:val="00B813DB"/>
    <w:rsid w:val="00B8164D"/>
    <w:rsid w:val="00B82DC0"/>
    <w:rsid w:val="00B83AAA"/>
    <w:rsid w:val="00B83C4C"/>
    <w:rsid w:val="00B83DF5"/>
    <w:rsid w:val="00B84696"/>
    <w:rsid w:val="00B85196"/>
    <w:rsid w:val="00B86930"/>
    <w:rsid w:val="00B875BB"/>
    <w:rsid w:val="00B90AC4"/>
    <w:rsid w:val="00B9172A"/>
    <w:rsid w:val="00B923C4"/>
    <w:rsid w:val="00B92EFD"/>
    <w:rsid w:val="00B9377A"/>
    <w:rsid w:val="00B949EB"/>
    <w:rsid w:val="00B951F9"/>
    <w:rsid w:val="00B95D8B"/>
    <w:rsid w:val="00B962F9"/>
    <w:rsid w:val="00B974FF"/>
    <w:rsid w:val="00B97BE5"/>
    <w:rsid w:val="00BA1262"/>
    <w:rsid w:val="00BA223E"/>
    <w:rsid w:val="00BA343E"/>
    <w:rsid w:val="00BA3FEF"/>
    <w:rsid w:val="00BA4811"/>
    <w:rsid w:val="00BA4D27"/>
    <w:rsid w:val="00BA5580"/>
    <w:rsid w:val="00BA59BF"/>
    <w:rsid w:val="00BA5B24"/>
    <w:rsid w:val="00BB11DB"/>
    <w:rsid w:val="00BB1683"/>
    <w:rsid w:val="00BB1787"/>
    <w:rsid w:val="00BB397C"/>
    <w:rsid w:val="00BB4893"/>
    <w:rsid w:val="00BB4FB6"/>
    <w:rsid w:val="00BB51EE"/>
    <w:rsid w:val="00BB6C75"/>
    <w:rsid w:val="00BB72D6"/>
    <w:rsid w:val="00BC02EA"/>
    <w:rsid w:val="00BC0C45"/>
    <w:rsid w:val="00BC0FB6"/>
    <w:rsid w:val="00BC4BB3"/>
    <w:rsid w:val="00BC4D1B"/>
    <w:rsid w:val="00BC4E67"/>
    <w:rsid w:val="00BC55DE"/>
    <w:rsid w:val="00BC5D10"/>
    <w:rsid w:val="00BC61CD"/>
    <w:rsid w:val="00BC6458"/>
    <w:rsid w:val="00BC69E3"/>
    <w:rsid w:val="00BD076C"/>
    <w:rsid w:val="00BD0982"/>
    <w:rsid w:val="00BD0FDB"/>
    <w:rsid w:val="00BD1BB9"/>
    <w:rsid w:val="00BD1E56"/>
    <w:rsid w:val="00BD2880"/>
    <w:rsid w:val="00BD2908"/>
    <w:rsid w:val="00BD2BD2"/>
    <w:rsid w:val="00BD2C1B"/>
    <w:rsid w:val="00BD310A"/>
    <w:rsid w:val="00BD33E0"/>
    <w:rsid w:val="00BD3FCB"/>
    <w:rsid w:val="00BD448C"/>
    <w:rsid w:val="00BD50A4"/>
    <w:rsid w:val="00BD5FD0"/>
    <w:rsid w:val="00BD6040"/>
    <w:rsid w:val="00BD6CB1"/>
    <w:rsid w:val="00BD6CF2"/>
    <w:rsid w:val="00BD6E22"/>
    <w:rsid w:val="00BE0109"/>
    <w:rsid w:val="00BE0B2F"/>
    <w:rsid w:val="00BE1696"/>
    <w:rsid w:val="00BE1FDB"/>
    <w:rsid w:val="00BE25FA"/>
    <w:rsid w:val="00BE2870"/>
    <w:rsid w:val="00BE2CFB"/>
    <w:rsid w:val="00BE3ABF"/>
    <w:rsid w:val="00BE3FDF"/>
    <w:rsid w:val="00BE42AB"/>
    <w:rsid w:val="00BE4CAF"/>
    <w:rsid w:val="00BE4E81"/>
    <w:rsid w:val="00BE53D2"/>
    <w:rsid w:val="00BE542B"/>
    <w:rsid w:val="00BE5686"/>
    <w:rsid w:val="00BE5A05"/>
    <w:rsid w:val="00BE5AD2"/>
    <w:rsid w:val="00BE5D00"/>
    <w:rsid w:val="00BE6F3F"/>
    <w:rsid w:val="00BE7026"/>
    <w:rsid w:val="00BE7900"/>
    <w:rsid w:val="00BF0B20"/>
    <w:rsid w:val="00BF0D45"/>
    <w:rsid w:val="00BF0E4A"/>
    <w:rsid w:val="00BF1B95"/>
    <w:rsid w:val="00BF21AF"/>
    <w:rsid w:val="00BF2FFD"/>
    <w:rsid w:val="00BF33C6"/>
    <w:rsid w:val="00BF364D"/>
    <w:rsid w:val="00BF4307"/>
    <w:rsid w:val="00BF4478"/>
    <w:rsid w:val="00BF44BD"/>
    <w:rsid w:val="00BF56BC"/>
    <w:rsid w:val="00BF57C8"/>
    <w:rsid w:val="00BF5C17"/>
    <w:rsid w:val="00BF5DE5"/>
    <w:rsid w:val="00BF6539"/>
    <w:rsid w:val="00BF6972"/>
    <w:rsid w:val="00BF70B6"/>
    <w:rsid w:val="00BF72C2"/>
    <w:rsid w:val="00BF7C12"/>
    <w:rsid w:val="00C00FAA"/>
    <w:rsid w:val="00C015FF"/>
    <w:rsid w:val="00C018A6"/>
    <w:rsid w:val="00C02BFE"/>
    <w:rsid w:val="00C03642"/>
    <w:rsid w:val="00C03CA2"/>
    <w:rsid w:val="00C04389"/>
    <w:rsid w:val="00C046F6"/>
    <w:rsid w:val="00C04BF6"/>
    <w:rsid w:val="00C0699F"/>
    <w:rsid w:val="00C06E4C"/>
    <w:rsid w:val="00C07247"/>
    <w:rsid w:val="00C10430"/>
    <w:rsid w:val="00C1088A"/>
    <w:rsid w:val="00C1121A"/>
    <w:rsid w:val="00C1191A"/>
    <w:rsid w:val="00C12726"/>
    <w:rsid w:val="00C130F9"/>
    <w:rsid w:val="00C13368"/>
    <w:rsid w:val="00C13F77"/>
    <w:rsid w:val="00C1516F"/>
    <w:rsid w:val="00C15317"/>
    <w:rsid w:val="00C16BF0"/>
    <w:rsid w:val="00C17325"/>
    <w:rsid w:val="00C20138"/>
    <w:rsid w:val="00C21516"/>
    <w:rsid w:val="00C220EF"/>
    <w:rsid w:val="00C224A2"/>
    <w:rsid w:val="00C2285A"/>
    <w:rsid w:val="00C24359"/>
    <w:rsid w:val="00C2469A"/>
    <w:rsid w:val="00C247F7"/>
    <w:rsid w:val="00C24B6A"/>
    <w:rsid w:val="00C24D6E"/>
    <w:rsid w:val="00C26040"/>
    <w:rsid w:val="00C2645D"/>
    <w:rsid w:val="00C264F2"/>
    <w:rsid w:val="00C27130"/>
    <w:rsid w:val="00C27368"/>
    <w:rsid w:val="00C27470"/>
    <w:rsid w:val="00C27A21"/>
    <w:rsid w:val="00C27A3D"/>
    <w:rsid w:val="00C27DF9"/>
    <w:rsid w:val="00C3064B"/>
    <w:rsid w:val="00C317F4"/>
    <w:rsid w:val="00C328F7"/>
    <w:rsid w:val="00C3487B"/>
    <w:rsid w:val="00C37D78"/>
    <w:rsid w:val="00C40A83"/>
    <w:rsid w:val="00C411E2"/>
    <w:rsid w:val="00C41422"/>
    <w:rsid w:val="00C419B1"/>
    <w:rsid w:val="00C41A29"/>
    <w:rsid w:val="00C4203B"/>
    <w:rsid w:val="00C4293E"/>
    <w:rsid w:val="00C42EED"/>
    <w:rsid w:val="00C42EF6"/>
    <w:rsid w:val="00C42F68"/>
    <w:rsid w:val="00C43552"/>
    <w:rsid w:val="00C44EF9"/>
    <w:rsid w:val="00C45387"/>
    <w:rsid w:val="00C45705"/>
    <w:rsid w:val="00C458D9"/>
    <w:rsid w:val="00C45975"/>
    <w:rsid w:val="00C45CA1"/>
    <w:rsid w:val="00C4745E"/>
    <w:rsid w:val="00C50459"/>
    <w:rsid w:val="00C50863"/>
    <w:rsid w:val="00C50B32"/>
    <w:rsid w:val="00C51194"/>
    <w:rsid w:val="00C5174C"/>
    <w:rsid w:val="00C51EE7"/>
    <w:rsid w:val="00C52936"/>
    <w:rsid w:val="00C53922"/>
    <w:rsid w:val="00C54736"/>
    <w:rsid w:val="00C561B0"/>
    <w:rsid w:val="00C56823"/>
    <w:rsid w:val="00C57B07"/>
    <w:rsid w:val="00C57E3E"/>
    <w:rsid w:val="00C602D7"/>
    <w:rsid w:val="00C6083C"/>
    <w:rsid w:val="00C60992"/>
    <w:rsid w:val="00C6155F"/>
    <w:rsid w:val="00C62688"/>
    <w:rsid w:val="00C634D3"/>
    <w:rsid w:val="00C64643"/>
    <w:rsid w:val="00C65758"/>
    <w:rsid w:val="00C65C13"/>
    <w:rsid w:val="00C668BF"/>
    <w:rsid w:val="00C671A1"/>
    <w:rsid w:val="00C6734B"/>
    <w:rsid w:val="00C679A8"/>
    <w:rsid w:val="00C70029"/>
    <w:rsid w:val="00C70079"/>
    <w:rsid w:val="00C7028C"/>
    <w:rsid w:val="00C7032C"/>
    <w:rsid w:val="00C71868"/>
    <w:rsid w:val="00C72B99"/>
    <w:rsid w:val="00C740A5"/>
    <w:rsid w:val="00C76C84"/>
    <w:rsid w:val="00C7712F"/>
    <w:rsid w:val="00C775DA"/>
    <w:rsid w:val="00C77F32"/>
    <w:rsid w:val="00C80136"/>
    <w:rsid w:val="00C81469"/>
    <w:rsid w:val="00C81809"/>
    <w:rsid w:val="00C81B2D"/>
    <w:rsid w:val="00C82F2C"/>
    <w:rsid w:val="00C83736"/>
    <w:rsid w:val="00C842FA"/>
    <w:rsid w:val="00C846FF"/>
    <w:rsid w:val="00C859F1"/>
    <w:rsid w:val="00C85A7F"/>
    <w:rsid w:val="00C86D7E"/>
    <w:rsid w:val="00C87E2A"/>
    <w:rsid w:val="00C91442"/>
    <w:rsid w:val="00C918BB"/>
    <w:rsid w:val="00C91A4B"/>
    <w:rsid w:val="00C93CF5"/>
    <w:rsid w:val="00C93D14"/>
    <w:rsid w:val="00C94D63"/>
    <w:rsid w:val="00C9614E"/>
    <w:rsid w:val="00C96C04"/>
    <w:rsid w:val="00C974D3"/>
    <w:rsid w:val="00C97F62"/>
    <w:rsid w:val="00CA027D"/>
    <w:rsid w:val="00CA046A"/>
    <w:rsid w:val="00CA0F05"/>
    <w:rsid w:val="00CA35F5"/>
    <w:rsid w:val="00CA43E1"/>
    <w:rsid w:val="00CA4D3F"/>
    <w:rsid w:val="00CA55D2"/>
    <w:rsid w:val="00CA5E87"/>
    <w:rsid w:val="00CA5F99"/>
    <w:rsid w:val="00CA6C49"/>
    <w:rsid w:val="00CA6D6E"/>
    <w:rsid w:val="00CA7DC3"/>
    <w:rsid w:val="00CB0D08"/>
    <w:rsid w:val="00CB0E5C"/>
    <w:rsid w:val="00CB1363"/>
    <w:rsid w:val="00CB27F4"/>
    <w:rsid w:val="00CB284F"/>
    <w:rsid w:val="00CB29C4"/>
    <w:rsid w:val="00CB3609"/>
    <w:rsid w:val="00CB405B"/>
    <w:rsid w:val="00CB4B47"/>
    <w:rsid w:val="00CB4F1C"/>
    <w:rsid w:val="00CB6385"/>
    <w:rsid w:val="00CB71DD"/>
    <w:rsid w:val="00CB72C1"/>
    <w:rsid w:val="00CB74C9"/>
    <w:rsid w:val="00CC05A6"/>
    <w:rsid w:val="00CC1AFD"/>
    <w:rsid w:val="00CC2018"/>
    <w:rsid w:val="00CC218C"/>
    <w:rsid w:val="00CC2E19"/>
    <w:rsid w:val="00CC3B84"/>
    <w:rsid w:val="00CC3F23"/>
    <w:rsid w:val="00CC41ED"/>
    <w:rsid w:val="00CC46E8"/>
    <w:rsid w:val="00CC4D42"/>
    <w:rsid w:val="00CC76BF"/>
    <w:rsid w:val="00CD0155"/>
    <w:rsid w:val="00CD0C06"/>
    <w:rsid w:val="00CD0EAC"/>
    <w:rsid w:val="00CD1348"/>
    <w:rsid w:val="00CD2718"/>
    <w:rsid w:val="00CD3557"/>
    <w:rsid w:val="00CD41F2"/>
    <w:rsid w:val="00CD5FFB"/>
    <w:rsid w:val="00CD6A7A"/>
    <w:rsid w:val="00CD6EC5"/>
    <w:rsid w:val="00CD6EF2"/>
    <w:rsid w:val="00CE0795"/>
    <w:rsid w:val="00CE109A"/>
    <w:rsid w:val="00CE1BDE"/>
    <w:rsid w:val="00CE3332"/>
    <w:rsid w:val="00CE3944"/>
    <w:rsid w:val="00CE3AE3"/>
    <w:rsid w:val="00CE48C1"/>
    <w:rsid w:val="00CE5663"/>
    <w:rsid w:val="00CE63C9"/>
    <w:rsid w:val="00CE64C3"/>
    <w:rsid w:val="00CF0EDF"/>
    <w:rsid w:val="00CF14BB"/>
    <w:rsid w:val="00CF1FA1"/>
    <w:rsid w:val="00CF30F4"/>
    <w:rsid w:val="00CF318E"/>
    <w:rsid w:val="00CF3F1C"/>
    <w:rsid w:val="00CF4E86"/>
    <w:rsid w:val="00CF60D5"/>
    <w:rsid w:val="00CF6D10"/>
    <w:rsid w:val="00CF6D4C"/>
    <w:rsid w:val="00CF6F96"/>
    <w:rsid w:val="00CF787C"/>
    <w:rsid w:val="00CF78CE"/>
    <w:rsid w:val="00D0066D"/>
    <w:rsid w:val="00D0084F"/>
    <w:rsid w:val="00D0129B"/>
    <w:rsid w:val="00D01966"/>
    <w:rsid w:val="00D01A37"/>
    <w:rsid w:val="00D03C45"/>
    <w:rsid w:val="00D05054"/>
    <w:rsid w:val="00D0532D"/>
    <w:rsid w:val="00D06C2E"/>
    <w:rsid w:val="00D06DA5"/>
    <w:rsid w:val="00D07DDD"/>
    <w:rsid w:val="00D07E6A"/>
    <w:rsid w:val="00D102AA"/>
    <w:rsid w:val="00D10F3A"/>
    <w:rsid w:val="00D11435"/>
    <w:rsid w:val="00D117A4"/>
    <w:rsid w:val="00D13B49"/>
    <w:rsid w:val="00D141D4"/>
    <w:rsid w:val="00D204E7"/>
    <w:rsid w:val="00D21518"/>
    <w:rsid w:val="00D226A2"/>
    <w:rsid w:val="00D23085"/>
    <w:rsid w:val="00D24633"/>
    <w:rsid w:val="00D24D49"/>
    <w:rsid w:val="00D261B5"/>
    <w:rsid w:val="00D26FE1"/>
    <w:rsid w:val="00D27317"/>
    <w:rsid w:val="00D276EE"/>
    <w:rsid w:val="00D30B14"/>
    <w:rsid w:val="00D317A4"/>
    <w:rsid w:val="00D31A34"/>
    <w:rsid w:val="00D31C55"/>
    <w:rsid w:val="00D326C2"/>
    <w:rsid w:val="00D32B79"/>
    <w:rsid w:val="00D333B6"/>
    <w:rsid w:val="00D33822"/>
    <w:rsid w:val="00D33D57"/>
    <w:rsid w:val="00D344A6"/>
    <w:rsid w:val="00D37BBD"/>
    <w:rsid w:val="00D37E04"/>
    <w:rsid w:val="00D37EA4"/>
    <w:rsid w:val="00D37F40"/>
    <w:rsid w:val="00D414F2"/>
    <w:rsid w:val="00D41600"/>
    <w:rsid w:val="00D421C0"/>
    <w:rsid w:val="00D427BD"/>
    <w:rsid w:val="00D43419"/>
    <w:rsid w:val="00D43B8B"/>
    <w:rsid w:val="00D4416D"/>
    <w:rsid w:val="00D4424D"/>
    <w:rsid w:val="00D451C7"/>
    <w:rsid w:val="00D4635C"/>
    <w:rsid w:val="00D4664E"/>
    <w:rsid w:val="00D507EC"/>
    <w:rsid w:val="00D5212A"/>
    <w:rsid w:val="00D52317"/>
    <w:rsid w:val="00D525C5"/>
    <w:rsid w:val="00D53064"/>
    <w:rsid w:val="00D536A8"/>
    <w:rsid w:val="00D541A3"/>
    <w:rsid w:val="00D54F79"/>
    <w:rsid w:val="00D558AB"/>
    <w:rsid w:val="00D56210"/>
    <w:rsid w:val="00D5698E"/>
    <w:rsid w:val="00D56DFF"/>
    <w:rsid w:val="00D57DCF"/>
    <w:rsid w:val="00D6054C"/>
    <w:rsid w:val="00D60850"/>
    <w:rsid w:val="00D613F9"/>
    <w:rsid w:val="00D614FB"/>
    <w:rsid w:val="00D6155D"/>
    <w:rsid w:val="00D630F9"/>
    <w:rsid w:val="00D63C7B"/>
    <w:rsid w:val="00D64BCA"/>
    <w:rsid w:val="00D65274"/>
    <w:rsid w:val="00D67BCC"/>
    <w:rsid w:val="00D67D7B"/>
    <w:rsid w:val="00D7091F"/>
    <w:rsid w:val="00D70C9D"/>
    <w:rsid w:val="00D70FE5"/>
    <w:rsid w:val="00D7240A"/>
    <w:rsid w:val="00D742B0"/>
    <w:rsid w:val="00D74B71"/>
    <w:rsid w:val="00D74EAF"/>
    <w:rsid w:val="00D75BBE"/>
    <w:rsid w:val="00D75CC0"/>
    <w:rsid w:val="00D76509"/>
    <w:rsid w:val="00D7671A"/>
    <w:rsid w:val="00D76A57"/>
    <w:rsid w:val="00D77127"/>
    <w:rsid w:val="00D77808"/>
    <w:rsid w:val="00D77D75"/>
    <w:rsid w:val="00D80D03"/>
    <w:rsid w:val="00D81218"/>
    <w:rsid w:val="00D82427"/>
    <w:rsid w:val="00D833D4"/>
    <w:rsid w:val="00D8460D"/>
    <w:rsid w:val="00D85162"/>
    <w:rsid w:val="00D85B5F"/>
    <w:rsid w:val="00D861C6"/>
    <w:rsid w:val="00D86382"/>
    <w:rsid w:val="00D8687B"/>
    <w:rsid w:val="00D86EF9"/>
    <w:rsid w:val="00D90120"/>
    <w:rsid w:val="00D92CD7"/>
    <w:rsid w:val="00D931DB"/>
    <w:rsid w:val="00D93F11"/>
    <w:rsid w:val="00D9460E"/>
    <w:rsid w:val="00D947F7"/>
    <w:rsid w:val="00D951E5"/>
    <w:rsid w:val="00D95474"/>
    <w:rsid w:val="00D95798"/>
    <w:rsid w:val="00D95E6E"/>
    <w:rsid w:val="00D9602D"/>
    <w:rsid w:val="00D960CE"/>
    <w:rsid w:val="00D960F6"/>
    <w:rsid w:val="00DA00D4"/>
    <w:rsid w:val="00DA06FE"/>
    <w:rsid w:val="00DA09A8"/>
    <w:rsid w:val="00DA0C1B"/>
    <w:rsid w:val="00DA0E5E"/>
    <w:rsid w:val="00DA258E"/>
    <w:rsid w:val="00DA2B9B"/>
    <w:rsid w:val="00DA32BF"/>
    <w:rsid w:val="00DA4145"/>
    <w:rsid w:val="00DA77F1"/>
    <w:rsid w:val="00DB01EE"/>
    <w:rsid w:val="00DB14FD"/>
    <w:rsid w:val="00DB1C4D"/>
    <w:rsid w:val="00DB1C95"/>
    <w:rsid w:val="00DB2F4E"/>
    <w:rsid w:val="00DB34CC"/>
    <w:rsid w:val="00DB40E6"/>
    <w:rsid w:val="00DB49EB"/>
    <w:rsid w:val="00DB5CD2"/>
    <w:rsid w:val="00DB6941"/>
    <w:rsid w:val="00DB7EBD"/>
    <w:rsid w:val="00DC012E"/>
    <w:rsid w:val="00DC0A21"/>
    <w:rsid w:val="00DC0DE4"/>
    <w:rsid w:val="00DC144B"/>
    <w:rsid w:val="00DC25CD"/>
    <w:rsid w:val="00DC3914"/>
    <w:rsid w:val="00DC3E3D"/>
    <w:rsid w:val="00DC5698"/>
    <w:rsid w:val="00DC5943"/>
    <w:rsid w:val="00DC6A49"/>
    <w:rsid w:val="00DC7D08"/>
    <w:rsid w:val="00DD19F6"/>
    <w:rsid w:val="00DD25ED"/>
    <w:rsid w:val="00DD2AD6"/>
    <w:rsid w:val="00DD3837"/>
    <w:rsid w:val="00DD4313"/>
    <w:rsid w:val="00DD4C1E"/>
    <w:rsid w:val="00DD5455"/>
    <w:rsid w:val="00DD5C34"/>
    <w:rsid w:val="00DD60CA"/>
    <w:rsid w:val="00DD62F8"/>
    <w:rsid w:val="00DD683E"/>
    <w:rsid w:val="00DD732C"/>
    <w:rsid w:val="00DD7828"/>
    <w:rsid w:val="00DD7A6D"/>
    <w:rsid w:val="00DE01FF"/>
    <w:rsid w:val="00DE04BB"/>
    <w:rsid w:val="00DE0F5F"/>
    <w:rsid w:val="00DE13E1"/>
    <w:rsid w:val="00DE1877"/>
    <w:rsid w:val="00DE26A7"/>
    <w:rsid w:val="00DE38EA"/>
    <w:rsid w:val="00DE39AE"/>
    <w:rsid w:val="00DE4209"/>
    <w:rsid w:val="00DE4F8D"/>
    <w:rsid w:val="00DE59B9"/>
    <w:rsid w:val="00DE68FE"/>
    <w:rsid w:val="00DE6916"/>
    <w:rsid w:val="00DE7AF4"/>
    <w:rsid w:val="00DE7CA4"/>
    <w:rsid w:val="00DF1200"/>
    <w:rsid w:val="00DF1540"/>
    <w:rsid w:val="00DF2E85"/>
    <w:rsid w:val="00DF3B3E"/>
    <w:rsid w:val="00DF5503"/>
    <w:rsid w:val="00E01845"/>
    <w:rsid w:val="00E02048"/>
    <w:rsid w:val="00E03709"/>
    <w:rsid w:val="00E04088"/>
    <w:rsid w:val="00E048D1"/>
    <w:rsid w:val="00E04E39"/>
    <w:rsid w:val="00E05112"/>
    <w:rsid w:val="00E06EBB"/>
    <w:rsid w:val="00E0708F"/>
    <w:rsid w:val="00E07A72"/>
    <w:rsid w:val="00E1056B"/>
    <w:rsid w:val="00E10881"/>
    <w:rsid w:val="00E117D9"/>
    <w:rsid w:val="00E12CC4"/>
    <w:rsid w:val="00E12D0F"/>
    <w:rsid w:val="00E1379E"/>
    <w:rsid w:val="00E1540B"/>
    <w:rsid w:val="00E16895"/>
    <w:rsid w:val="00E204B3"/>
    <w:rsid w:val="00E21EF7"/>
    <w:rsid w:val="00E220C1"/>
    <w:rsid w:val="00E220E6"/>
    <w:rsid w:val="00E23AC9"/>
    <w:rsid w:val="00E242DA"/>
    <w:rsid w:val="00E259DD"/>
    <w:rsid w:val="00E26AB5"/>
    <w:rsid w:val="00E26ECA"/>
    <w:rsid w:val="00E27542"/>
    <w:rsid w:val="00E2781E"/>
    <w:rsid w:val="00E27920"/>
    <w:rsid w:val="00E31E80"/>
    <w:rsid w:val="00E32570"/>
    <w:rsid w:val="00E3265D"/>
    <w:rsid w:val="00E32A8C"/>
    <w:rsid w:val="00E335CF"/>
    <w:rsid w:val="00E33AD1"/>
    <w:rsid w:val="00E347C0"/>
    <w:rsid w:val="00E3726A"/>
    <w:rsid w:val="00E3780D"/>
    <w:rsid w:val="00E3793A"/>
    <w:rsid w:val="00E37C14"/>
    <w:rsid w:val="00E40E3A"/>
    <w:rsid w:val="00E40F1E"/>
    <w:rsid w:val="00E410AD"/>
    <w:rsid w:val="00E4154D"/>
    <w:rsid w:val="00E4191A"/>
    <w:rsid w:val="00E41F1E"/>
    <w:rsid w:val="00E42406"/>
    <w:rsid w:val="00E434DA"/>
    <w:rsid w:val="00E43B62"/>
    <w:rsid w:val="00E43E99"/>
    <w:rsid w:val="00E44035"/>
    <w:rsid w:val="00E44B33"/>
    <w:rsid w:val="00E45560"/>
    <w:rsid w:val="00E46426"/>
    <w:rsid w:val="00E46B01"/>
    <w:rsid w:val="00E46D91"/>
    <w:rsid w:val="00E471EB"/>
    <w:rsid w:val="00E5027E"/>
    <w:rsid w:val="00E5071B"/>
    <w:rsid w:val="00E51BF4"/>
    <w:rsid w:val="00E527B9"/>
    <w:rsid w:val="00E52F75"/>
    <w:rsid w:val="00E53F2F"/>
    <w:rsid w:val="00E5470A"/>
    <w:rsid w:val="00E54EA5"/>
    <w:rsid w:val="00E569C1"/>
    <w:rsid w:val="00E56BC5"/>
    <w:rsid w:val="00E56C11"/>
    <w:rsid w:val="00E5746A"/>
    <w:rsid w:val="00E57993"/>
    <w:rsid w:val="00E57AB6"/>
    <w:rsid w:val="00E57AF0"/>
    <w:rsid w:val="00E6059A"/>
    <w:rsid w:val="00E60AD2"/>
    <w:rsid w:val="00E60CC5"/>
    <w:rsid w:val="00E6166F"/>
    <w:rsid w:val="00E631CA"/>
    <w:rsid w:val="00E64709"/>
    <w:rsid w:val="00E65DB4"/>
    <w:rsid w:val="00E6654E"/>
    <w:rsid w:val="00E66D5C"/>
    <w:rsid w:val="00E66F68"/>
    <w:rsid w:val="00E67616"/>
    <w:rsid w:val="00E67678"/>
    <w:rsid w:val="00E6786C"/>
    <w:rsid w:val="00E678EB"/>
    <w:rsid w:val="00E7039C"/>
    <w:rsid w:val="00E71111"/>
    <w:rsid w:val="00E711FA"/>
    <w:rsid w:val="00E71361"/>
    <w:rsid w:val="00E71939"/>
    <w:rsid w:val="00E71F25"/>
    <w:rsid w:val="00E73D38"/>
    <w:rsid w:val="00E74E9D"/>
    <w:rsid w:val="00E750CD"/>
    <w:rsid w:val="00E75819"/>
    <w:rsid w:val="00E761C7"/>
    <w:rsid w:val="00E76D62"/>
    <w:rsid w:val="00E7771B"/>
    <w:rsid w:val="00E77D46"/>
    <w:rsid w:val="00E80E5F"/>
    <w:rsid w:val="00E81A5F"/>
    <w:rsid w:val="00E82491"/>
    <w:rsid w:val="00E83DB2"/>
    <w:rsid w:val="00E84653"/>
    <w:rsid w:val="00E84E01"/>
    <w:rsid w:val="00E86FBB"/>
    <w:rsid w:val="00E90E14"/>
    <w:rsid w:val="00E91683"/>
    <w:rsid w:val="00E91DF6"/>
    <w:rsid w:val="00E92B94"/>
    <w:rsid w:val="00E937A9"/>
    <w:rsid w:val="00E93ACE"/>
    <w:rsid w:val="00E9570C"/>
    <w:rsid w:val="00E958A4"/>
    <w:rsid w:val="00E97ED2"/>
    <w:rsid w:val="00EA08E4"/>
    <w:rsid w:val="00EA1651"/>
    <w:rsid w:val="00EA185C"/>
    <w:rsid w:val="00EA1AAA"/>
    <w:rsid w:val="00EA319B"/>
    <w:rsid w:val="00EA3818"/>
    <w:rsid w:val="00EA3838"/>
    <w:rsid w:val="00EA396D"/>
    <w:rsid w:val="00EA3A6D"/>
    <w:rsid w:val="00EA4452"/>
    <w:rsid w:val="00EA4B33"/>
    <w:rsid w:val="00EA4B9E"/>
    <w:rsid w:val="00EA4DDD"/>
    <w:rsid w:val="00EA51E7"/>
    <w:rsid w:val="00EA5518"/>
    <w:rsid w:val="00EA5B5D"/>
    <w:rsid w:val="00EA6316"/>
    <w:rsid w:val="00EA6BB0"/>
    <w:rsid w:val="00EA6CDB"/>
    <w:rsid w:val="00EA72E8"/>
    <w:rsid w:val="00EA7514"/>
    <w:rsid w:val="00EB141A"/>
    <w:rsid w:val="00EB1D0C"/>
    <w:rsid w:val="00EB27FA"/>
    <w:rsid w:val="00EB2F6F"/>
    <w:rsid w:val="00EB3CAC"/>
    <w:rsid w:val="00EB4282"/>
    <w:rsid w:val="00EB4D9B"/>
    <w:rsid w:val="00EC0877"/>
    <w:rsid w:val="00EC0BEA"/>
    <w:rsid w:val="00EC0DB4"/>
    <w:rsid w:val="00EC1438"/>
    <w:rsid w:val="00EC1572"/>
    <w:rsid w:val="00EC23E4"/>
    <w:rsid w:val="00EC2BDF"/>
    <w:rsid w:val="00EC6178"/>
    <w:rsid w:val="00EC67DF"/>
    <w:rsid w:val="00EC7345"/>
    <w:rsid w:val="00ED012F"/>
    <w:rsid w:val="00ED0325"/>
    <w:rsid w:val="00ED0952"/>
    <w:rsid w:val="00ED1A53"/>
    <w:rsid w:val="00ED1BEC"/>
    <w:rsid w:val="00ED1F4D"/>
    <w:rsid w:val="00ED212E"/>
    <w:rsid w:val="00ED2247"/>
    <w:rsid w:val="00ED4773"/>
    <w:rsid w:val="00ED592D"/>
    <w:rsid w:val="00ED6BA8"/>
    <w:rsid w:val="00ED76CC"/>
    <w:rsid w:val="00EE0561"/>
    <w:rsid w:val="00EE0664"/>
    <w:rsid w:val="00EE0805"/>
    <w:rsid w:val="00EE0E3B"/>
    <w:rsid w:val="00EE1372"/>
    <w:rsid w:val="00EE1B10"/>
    <w:rsid w:val="00EE39AF"/>
    <w:rsid w:val="00EE39DF"/>
    <w:rsid w:val="00EE39FE"/>
    <w:rsid w:val="00EE3FBA"/>
    <w:rsid w:val="00EE4C94"/>
    <w:rsid w:val="00EE63A6"/>
    <w:rsid w:val="00EE69F0"/>
    <w:rsid w:val="00EE6B19"/>
    <w:rsid w:val="00EE71FE"/>
    <w:rsid w:val="00EE73E0"/>
    <w:rsid w:val="00EF031E"/>
    <w:rsid w:val="00EF09C6"/>
    <w:rsid w:val="00EF0AF0"/>
    <w:rsid w:val="00EF3236"/>
    <w:rsid w:val="00EF34B5"/>
    <w:rsid w:val="00EF3D97"/>
    <w:rsid w:val="00EF5DEF"/>
    <w:rsid w:val="00EF6522"/>
    <w:rsid w:val="00EF6950"/>
    <w:rsid w:val="00EF6EFB"/>
    <w:rsid w:val="00EF6F73"/>
    <w:rsid w:val="00EF724E"/>
    <w:rsid w:val="00EF7AE8"/>
    <w:rsid w:val="00F00D62"/>
    <w:rsid w:val="00F023B3"/>
    <w:rsid w:val="00F02F07"/>
    <w:rsid w:val="00F03F26"/>
    <w:rsid w:val="00F040D7"/>
    <w:rsid w:val="00F04A4F"/>
    <w:rsid w:val="00F0519C"/>
    <w:rsid w:val="00F0560D"/>
    <w:rsid w:val="00F06136"/>
    <w:rsid w:val="00F06206"/>
    <w:rsid w:val="00F06468"/>
    <w:rsid w:val="00F06CFC"/>
    <w:rsid w:val="00F07586"/>
    <w:rsid w:val="00F07707"/>
    <w:rsid w:val="00F10091"/>
    <w:rsid w:val="00F103CC"/>
    <w:rsid w:val="00F11273"/>
    <w:rsid w:val="00F1189A"/>
    <w:rsid w:val="00F11DA7"/>
    <w:rsid w:val="00F12B7C"/>
    <w:rsid w:val="00F12E9F"/>
    <w:rsid w:val="00F131E7"/>
    <w:rsid w:val="00F1367E"/>
    <w:rsid w:val="00F1456D"/>
    <w:rsid w:val="00F14C7D"/>
    <w:rsid w:val="00F15461"/>
    <w:rsid w:val="00F170BB"/>
    <w:rsid w:val="00F1750B"/>
    <w:rsid w:val="00F178BD"/>
    <w:rsid w:val="00F17A97"/>
    <w:rsid w:val="00F201C6"/>
    <w:rsid w:val="00F205F2"/>
    <w:rsid w:val="00F2166C"/>
    <w:rsid w:val="00F21CE0"/>
    <w:rsid w:val="00F22F3F"/>
    <w:rsid w:val="00F2364C"/>
    <w:rsid w:val="00F2540A"/>
    <w:rsid w:val="00F25A00"/>
    <w:rsid w:val="00F270A1"/>
    <w:rsid w:val="00F27784"/>
    <w:rsid w:val="00F3042F"/>
    <w:rsid w:val="00F30785"/>
    <w:rsid w:val="00F317D4"/>
    <w:rsid w:val="00F31F7E"/>
    <w:rsid w:val="00F32C4D"/>
    <w:rsid w:val="00F332C1"/>
    <w:rsid w:val="00F35096"/>
    <w:rsid w:val="00F3632A"/>
    <w:rsid w:val="00F364C2"/>
    <w:rsid w:val="00F37857"/>
    <w:rsid w:val="00F4055F"/>
    <w:rsid w:val="00F406A5"/>
    <w:rsid w:val="00F4186D"/>
    <w:rsid w:val="00F427C7"/>
    <w:rsid w:val="00F42927"/>
    <w:rsid w:val="00F42CDE"/>
    <w:rsid w:val="00F43804"/>
    <w:rsid w:val="00F44DE8"/>
    <w:rsid w:val="00F45093"/>
    <w:rsid w:val="00F45269"/>
    <w:rsid w:val="00F46092"/>
    <w:rsid w:val="00F46207"/>
    <w:rsid w:val="00F46834"/>
    <w:rsid w:val="00F4683F"/>
    <w:rsid w:val="00F47FDB"/>
    <w:rsid w:val="00F506D2"/>
    <w:rsid w:val="00F50831"/>
    <w:rsid w:val="00F50A6D"/>
    <w:rsid w:val="00F50EF6"/>
    <w:rsid w:val="00F50F97"/>
    <w:rsid w:val="00F516C8"/>
    <w:rsid w:val="00F51A05"/>
    <w:rsid w:val="00F521B7"/>
    <w:rsid w:val="00F52F47"/>
    <w:rsid w:val="00F536EA"/>
    <w:rsid w:val="00F53D22"/>
    <w:rsid w:val="00F55625"/>
    <w:rsid w:val="00F55630"/>
    <w:rsid w:val="00F55912"/>
    <w:rsid w:val="00F55D94"/>
    <w:rsid w:val="00F605F1"/>
    <w:rsid w:val="00F618F8"/>
    <w:rsid w:val="00F6215A"/>
    <w:rsid w:val="00F62571"/>
    <w:rsid w:val="00F6299B"/>
    <w:rsid w:val="00F62A08"/>
    <w:rsid w:val="00F62A7F"/>
    <w:rsid w:val="00F635CB"/>
    <w:rsid w:val="00F63A98"/>
    <w:rsid w:val="00F63BAD"/>
    <w:rsid w:val="00F64391"/>
    <w:rsid w:val="00F6505B"/>
    <w:rsid w:val="00F65678"/>
    <w:rsid w:val="00F65F83"/>
    <w:rsid w:val="00F67315"/>
    <w:rsid w:val="00F67531"/>
    <w:rsid w:val="00F67C53"/>
    <w:rsid w:val="00F7091A"/>
    <w:rsid w:val="00F70B90"/>
    <w:rsid w:val="00F70D89"/>
    <w:rsid w:val="00F72EC7"/>
    <w:rsid w:val="00F73A8B"/>
    <w:rsid w:val="00F73C7A"/>
    <w:rsid w:val="00F7440A"/>
    <w:rsid w:val="00F745C4"/>
    <w:rsid w:val="00F74A89"/>
    <w:rsid w:val="00F74B1A"/>
    <w:rsid w:val="00F75000"/>
    <w:rsid w:val="00F7552B"/>
    <w:rsid w:val="00F75A84"/>
    <w:rsid w:val="00F76D88"/>
    <w:rsid w:val="00F778CC"/>
    <w:rsid w:val="00F77B02"/>
    <w:rsid w:val="00F77E43"/>
    <w:rsid w:val="00F8101F"/>
    <w:rsid w:val="00F81217"/>
    <w:rsid w:val="00F81F12"/>
    <w:rsid w:val="00F823D5"/>
    <w:rsid w:val="00F82614"/>
    <w:rsid w:val="00F8289E"/>
    <w:rsid w:val="00F8299E"/>
    <w:rsid w:val="00F82AF2"/>
    <w:rsid w:val="00F83074"/>
    <w:rsid w:val="00F83753"/>
    <w:rsid w:val="00F83FF0"/>
    <w:rsid w:val="00F84580"/>
    <w:rsid w:val="00F849D8"/>
    <w:rsid w:val="00F85EAE"/>
    <w:rsid w:val="00F85FA1"/>
    <w:rsid w:val="00F85FF1"/>
    <w:rsid w:val="00F860D1"/>
    <w:rsid w:val="00F87895"/>
    <w:rsid w:val="00F87BC9"/>
    <w:rsid w:val="00F903E4"/>
    <w:rsid w:val="00F90552"/>
    <w:rsid w:val="00F90D45"/>
    <w:rsid w:val="00F90EF1"/>
    <w:rsid w:val="00F921D3"/>
    <w:rsid w:val="00F924E3"/>
    <w:rsid w:val="00F92B4A"/>
    <w:rsid w:val="00F93B94"/>
    <w:rsid w:val="00F951C7"/>
    <w:rsid w:val="00F951DD"/>
    <w:rsid w:val="00F95C4B"/>
    <w:rsid w:val="00F9683B"/>
    <w:rsid w:val="00F96F4E"/>
    <w:rsid w:val="00F97628"/>
    <w:rsid w:val="00F976F9"/>
    <w:rsid w:val="00F97B5C"/>
    <w:rsid w:val="00FA069F"/>
    <w:rsid w:val="00FA16BA"/>
    <w:rsid w:val="00FA2837"/>
    <w:rsid w:val="00FA28A9"/>
    <w:rsid w:val="00FA2D87"/>
    <w:rsid w:val="00FA3252"/>
    <w:rsid w:val="00FA4F9E"/>
    <w:rsid w:val="00FA5EA7"/>
    <w:rsid w:val="00FA5F11"/>
    <w:rsid w:val="00FA5F48"/>
    <w:rsid w:val="00FA6358"/>
    <w:rsid w:val="00FA6C46"/>
    <w:rsid w:val="00FA7556"/>
    <w:rsid w:val="00FB1326"/>
    <w:rsid w:val="00FB13E8"/>
    <w:rsid w:val="00FB1FFE"/>
    <w:rsid w:val="00FB2094"/>
    <w:rsid w:val="00FB2225"/>
    <w:rsid w:val="00FB2D94"/>
    <w:rsid w:val="00FB2E10"/>
    <w:rsid w:val="00FB358D"/>
    <w:rsid w:val="00FB3947"/>
    <w:rsid w:val="00FB5232"/>
    <w:rsid w:val="00FB5518"/>
    <w:rsid w:val="00FB5BE3"/>
    <w:rsid w:val="00FB5BE8"/>
    <w:rsid w:val="00FB6102"/>
    <w:rsid w:val="00FB6650"/>
    <w:rsid w:val="00FB6F4C"/>
    <w:rsid w:val="00FB77C2"/>
    <w:rsid w:val="00FB7D27"/>
    <w:rsid w:val="00FC01CE"/>
    <w:rsid w:val="00FC0621"/>
    <w:rsid w:val="00FC1D2B"/>
    <w:rsid w:val="00FC2313"/>
    <w:rsid w:val="00FC2784"/>
    <w:rsid w:val="00FC2788"/>
    <w:rsid w:val="00FC2FA7"/>
    <w:rsid w:val="00FC30AB"/>
    <w:rsid w:val="00FC3BF4"/>
    <w:rsid w:val="00FC409B"/>
    <w:rsid w:val="00FC442E"/>
    <w:rsid w:val="00FC4824"/>
    <w:rsid w:val="00FC52D4"/>
    <w:rsid w:val="00FC5727"/>
    <w:rsid w:val="00FC57DA"/>
    <w:rsid w:val="00FC5E08"/>
    <w:rsid w:val="00FC5EED"/>
    <w:rsid w:val="00FC644D"/>
    <w:rsid w:val="00FC71B2"/>
    <w:rsid w:val="00FC7914"/>
    <w:rsid w:val="00FD0CF6"/>
    <w:rsid w:val="00FD0CFF"/>
    <w:rsid w:val="00FD14D6"/>
    <w:rsid w:val="00FD2273"/>
    <w:rsid w:val="00FD2831"/>
    <w:rsid w:val="00FD2C71"/>
    <w:rsid w:val="00FD32A8"/>
    <w:rsid w:val="00FD383C"/>
    <w:rsid w:val="00FD47DC"/>
    <w:rsid w:val="00FD4AE5"/>
    <w:rsid w:val="00FD538C"/>
    <w:rsid w:val="00FD56D6"/>
    <w:rsid w:val="00FD5C67"/>
    <w:rsid w:val="00FD6D12"/>
    <w:rsid w:val="00FD7754"/>
    <w:rsid w:val="00FD798A"/>
    <w:rsid w:val="00FD7D38"/>
    <w:rsid w:val="00FD7DC2"/>
    <w:rsid w:val="00FE0490"/>
    <w:rsid w:val="00FE06EF"/>
    <w:rsid w:val="00FE0928"/>
    <w:rsid w:val="00FE133D"/>
    <w:rsid w:val="00FE1588"/>
    <w:rsid w:val="00FE1EA0"/>
    <w:rsid w:val="00FE20AA"/>
    <w:rsid w:val="00FE3CCA"/>
    <w:rsid w:val="00FE5CBB"/>
    <w:rsid w:val="00FE7372"/>
    <w:rsid w:val="00FF0030"/>
    <w:rsid w:val="00FF0C81"/>
    <w:rsid w:val="00FF0D27"/>
    <w:rsid w:val="00FF2B38"/>
    <w:rsid w:val="00FF2BFA"/>
    <w:rsid w:val="00FF30AE"/>
    <w:rsid w:val="00FF417B"/>
    <w:rsid w:val="00FF4286"/>
    <w:rsid w:val="00FF4852"/>
    <w:rsid w:val="00FF6041"/>
    <w:rsid w:val="00FF65F5"/>
    <w:rsid w:val="00FF7199"/>
    <w:rsid w:val="00FF792B"/>
    <w:rsid w:val="01590930"/>
    <w:rsid w:val="029F4143"/>
    <w:rsid w:val="063A7029"/>
    <w:rsid w:val="06D53D61"/>
    <w:rsid w:val="09635AAA"/>
    <w:rsid w:val="150E615F"/>
    <w:rsid w:val="168A0E2F"/>
    <w:rsid w:val="178F0B78"/>
    <w:rsid w:val="204872BE"/>
    <w:rsid w:val="216502CA"/>
    <w:rsid w:val="21720E36"/>
    <w:rsid w:val="2CC514E5"/>
    <w:rsid w:val="30680E36"/>
    <w:rsid w:val="383F76B9"/>
    <w:rsid w:val="3A6B11DE"/>
    <w:rsid w:val="3BD05729"/>
    <w:rsid w:val="3BE3637D"/>
    <w:rsid w:val="453A1C89"/>
    <w:rsid w:val="47F059FC"/>
    <w:rsid w:val="48AC0AD7"/>
    <w:rsid w:val="4A1C3ADC"/>
    <w:rsid w:val="4A291C85"/>
    <w:rsid w:val="4E78370C"/>
    <w:rsid w:val="4EBF4127"/>
    <w:rsid w:val="51D369A3"/>
    <w:rsid w:val="521F5A49"/>
    <w:rsid w:val="5230113E"/>
    <w:rsid w:val="56041063"/>
    <w:rsid w:val="56B61F70"/>
    <w:rsid w:val="5C9A72B8"/>
    <w:rsid w:val="5E0551EF"/>
    <w:rsid w:val="5FEE35BE"/>
    <w:rsid w:val="61AA771E"/>
    <w:rsid w:val="633D35DF"/>
    <w:rsid w:val="65EC43D3"/>
    <w:rsid w:val="690515BD"/>
    <w:rsid w:val="6FDF5099"/>
    <w:rsid w:val="71121E25"/>
    <w:rsid w:val="74851C90"/>
    <w:rsid w:val="74E72488"/>
    <w:rsid w:val="78AA2A0B"/>
    <w:rsid w:val="7E2C6F1B"/>
    <w:rsid w:val="7EC95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link w:val="39"/>
    <w:autoRedefine/>
    <w:qFormat/>
    <w:uiPriority w:val="0"/>
    <w:pPr>
      <w:keepNext/>
      <w:keepLines/>
      <w:numPr>
        <w:ilvl w:val="0"/>
        <w:numId w:val="1"/>
      </w:numPr>
      <w:spacing w:before="120" w:after="120" w:line="360" w:lineRule="auto"/>
      <w:outlineLvl w:val="0"/>
    </w:pPr>
    <w:rPr>
      <w:rFonts w:ascii="Times New Roman" w:hAnsi="Times New Roman" w:eastAsia="黑体" w:cs="Times New Roman"/>
      <w:kern w:val="2"/>
      <w:sz w:val="24"/>
      <w:szCs w:val="24"/>
      <w:lang w:val="en-US" w:eastAsia="zh-CN" w:bidi="ar-SA"/>
    </w:rPr>
  </w:style>
  <w:style w:type="paragraph" w:styleId="3">
    <w:name w:val="heading 2"/>
    <w:basedOn w:val="1"/>
    <w:next w:val="1"/>
    <w:link w:val="40"/>
    <w:autoRedefine/>
    <w:unhideWhenUsed/>
    <w:qFormat/>
    <w:uiPriority w:val="0"/>
    <w:pPr>
      <w:keepNext/>
      <w:keepLines/>
      <w:numPr>
        <w:ilvl w:val="1"/>
        <w:numId w:val="1"/>
      </w:numPr>
      <w:spacing w:before="50" w:beforeLines="50" w:after="50" w:afterLines="50"/>
      <w:ind w:firstLine="0" w:firstLineChars="0"/>
      <w:jc w:val="left"/>
      <w:outlineLvl w:val="1"/>
    </w:pPr>
    <w:rPr>
      <w:rFonts w:eastAsia="黑体" w:cstheme="majorBidi"/>
      <w:b/>
      <w:bCs/>
      <w:szCs w:val="32"/>
    </w:rPr>
  </w:style>
  <w:style w:type="paragraph" w:styleId="4">
    <w:name w:val="heading 3"/>
    <w:basedOn w:val="1"/>
    <w:next w:val="1"/>
    <w:link w:val="41"/>
    <w:autoRedefine/>
    <w:unhideWhenUsed/>
    <w:qFormat/>
    <w:uiPriority w:val="0"/>
    <w:pPr>
      <w:keepNext/>
      <w:keepLines/>
      <w:numPr>
        <w:ilvl w:val="2"/>
        <w:numId w:val="1"/>
      </w:numPr>
      <w:ind w:firstLine="0" w:firstLineChars="0"/>
      <w:contextualSpacing/>
      <w:jc w:val="left"/>
      <w:outlineLvl w:val="2"/>
    </w:pPr>
    <w:rPr>
      <w:bCs/>
      <w:szCs w:val="32"/>
    </w:rPr>
  </w:style>
  <w:style w:type="paragraph" w:styleId="5">
    <w:name w:val="heading 4"/>
    <w:basedOn w:val="1"/>
    <w:next w:val="1"/>
    <w:link w:val="42"/>
    <w:autoRedefine/>
    <w:semiHidden/>
    <w:unhideWhenUsed/>
    <w:qFormat/>
    <w:uiPriority w:val="0"/>
    <w:pPr>
      <w:keepNext/>
      <w:keepLines/>
      <w:numPr>
        <w:ilvl w:val="3"/>
        <w:numId w:val="1"/>
      </w:numPr>
      <w:ind w:firstLine="0" w:firstLineChars="0"/>
      <w:outlineLvl w:val="3"/>
    </w:pPr>
    <w:rPr>
      <w:rFonts w:asciiTheme="majorHAnsi" w:hAnsiTheme="majorHAnsi" w:eastAsiaTheme="majorEastAsia" w:cstheme="majorBidi"/>
      <w:b/>
      <w:bCs/>
      <w:sz w:val="28"/>
      <w:szCs w:val="28"/>
    </w:rPr>
  </w:style>
  <w:style w:type="paragraph" w:styleId="6">
    <w:name w:val="heading 5"/>
    <w:basedOn w:val="1"/>
    <w:next w:val="1"/>
    <w:link w:val="43"/>
    <w:autoRedefine/>
    <w:semiHidden/>
    <w:unhideWhenUsed/>
    <w:qFormat/>
    <w:uiPriority w:val="0"/>
    <w:pPr>
      <w:keepNext/>
      <w:keepLines/>
      <w:numPr>
        <w:ilvl w:val="4"/>
        <w:numId w:val="1"/>
      </w:numPr>
      <w:spacing w:before="280" w:after="290" w:line="376" w:lineRule="auto"/>
      <w:ind w:firstLine="0" w:firstLineChars="0"/>
      <w:outlineLvl w:val="4"/>
    </w:pPr>
    <w:rPr>
      <w:b/>
      <w:bCs/>
      <w:sz w:val="28"/>
      <w:szCs w:val="28"/>
    </w:rPr>
  </w:style>
  <w:style w:type="paragraph" w:styleId="7">
    <w:name w:val="heading 6"/>
    <w:basedOn w:val="1"/>
    <w:next w:val="1"/>
    <w:link w:val="44"/>
    <w:autoRedefine/>
    <w:semiHidden/>
    <w:unhideWhenUsed/>
    <w:qFormat/>
    <w:uiPriority w:val="0"/>
    <w:pPr>
      <w:keepNext/>
      <w:keepLines/>
      <w:numPr>
        <w:ilvl w:val="5"/>
        <w:numId w:val="1"/>
      </w:numPr>
      <w:spacing w:before="240" w:after="64" w:line="320" w:lineRule="auto"/>
      <w:ind w:firstLine="0" w:firstLineChars="0"/>
      <w:outlineLvl w:val="5"/>
    </w:pPr>
    <w:rPr>
      <w:rFonts w:asciiTheme="majorHAnsi" w:hAnsiTheme="majorHAnsi" w:eastAsiaTheme="majorEastAsia" w:cstheme="majorBidi"/>
      <w:b/>
      <w:bCs/>
    </w:rPr>
  </w:style>
  <w:style w:type="paragraph" w:styleId="8">
    <w:name w:val="heading 7"/>
    <w:basedOn w:val="1"/>
    <w:next w:val="1"/>
    <w:link w:val="45"/>
    <w:autoRedefine/>
    <w:semiHidden/>
    <w:unhideWhenUsed/>
    <w:qFormat/>
    <w:uiPriority w:val="0"/>
    <w:pPr>
      <w:keepNext/>
      <w:keepLines/>
      <w:numPr>
        <w:ilvl w:val="6"/>
        <w:numId w:val="1"/>
      </w:numPr>
      <w:spacing w:before="240" w:after="64" w:line="320" w:lineRule="auto"/>
      <w:ind w:firstLine="0" w:firstLineChars="0"/>
      <w:outlineLvl w:val="6"/>
    </w:pPr>
    <w:rPr>
      <w:b/>
      <w:bCs/>
    </w:rPr>
  </w:style>
  <w:style w:type="paragraph" w:styleId="9">
    <w:name w:val="heading 8"/>
    <w:basedOn w:val="1"/>
    <w:next w:val="1"/>
    <w:link w:val="46"/>
    <w:autoRedefine/>
    <w:semiHidden/>
    <w:unhideWhenUsed/>
    <w:qFormat/>
    <w:uiPriority w:val="0"/>
    <w:pPr>
      <w:keepNext/>
      <w:keepLines/>
      <w:numPr>
        <w:ilvl w:val="7"/>
        <w:numId w:val="1"/>
      </w:numPr>
      <w:spacing w:before="240" w:after="64" w:line="320" w:lineRule="auto"/>
      <w:ind w:firstLine="0" w:firstLineChars="0"/>
      <w:outlineLvl w:val="7"/>
    </w:pPr>
    <w:rPr>
      <w:rFonts w:asciiTheme="majorHAnsi" w:hAnsiTheme="majorHAnsi" w:eastAsiaTheme="majorEastAsia" w:cstheme="majorBidi"/>
    </w:rPr>
  </w:style>
  <w:style w:type="paragraph" w:styleId="10">
    <w:name w:val="heading 9"/>
    <w:basedOn w:val="1"/>
    <w:next w:val="1"/>
    <w:link w:val="47"/>
    <w:autoRedefine/>
    <w:semiHidden/>
    <w:unhideWhenUsed/>
    <w:qFormat/>
    <w:uiPriority w:val="0"/>
    <w:pPr>
      <w:keepNext/>
      <w:keepLines/>
      <w:numPr>
        <w:ilvl w:val="8"/>
        <w:numId w:val="1"/>
      </w:numPr>
      <w:spacing w:before="240" w:after="64" w:line="320" w:lineRule="auto"/>
      <w:ind w:firstLine="0" w:firstLineChars="0"/>
      <w:outlineLvl w:val="8"/>
    </w:pPr>
    <w:rPr>
      <w:rFonts w:asciiTheme="majorHAnsi" w:hAnsiTheme="majorHAnsi" w:eastAsiaTheme="majorEastAsia" w:cstheme="majorBidi"/>
      <w:sz w:val="21"/>
      <w:szCs w:val="21"/>
    </w:rPr>
  </w:style>
  <w:style w:type="character" w:default="1" w:styleId="33">
    <w:name w:val="Default Paragraph Font"/>
    <w:autoRedefine/>
    <w:semiHidden/>
    <w:unhideWhenUsed/>
    <w:qFormat/>
    <w:uiPriority w:val="1"/>
  </w:style>
  <w:style w:type="table" w:default="1" w:styleId="29">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spacing w:line="240" w:lineRule="auto"/>
      <w:ind w:left="2520" w:leftChars="1200" w:firstLine="0" w:firstLineChars="0"/>
    </w:pPr>
    <w:rPr>
      <w:rFonts w:asciiTheme="minorHAnsi" w:hAnsiTheme="minorHAnsi" w:eastAsiaTheme="minorEastAsia" w:cstheme="minorBidi"/>
      <w:sz w:val="21"/>
      <w:szCs w:val="22"/>
    </w:rPr>
  </w:style>
  <w:style w:type="paragraph" w:styleId="12">
    <w:name w:val="caption"/>
    <w:basedOn w:val="1"/>
    <w:next w:val="1"/>
    <w:link w:val="48"/>
    <w:autoRedefine/>
    <w:unhideWhenUsed/>
    <w:qFormat/>
    <w:uiPriority w:val="0"/>
    <w:pPr>
      <w:ind w:firstLine="0" w:firstLineChars="0"/>
      <w:jc w:val="center"/>
    </w:pPr>
    <w:rPr>
      <w:rFonts w:eastAsia="黑体" w:asciiTheme="majorHAnsi" w:hAnsiTheme="majorHAnsi" w:cstheme="majorBidi"/>
      <w:szCs w:val="20"/>
    </w:rPr>
  </w:style>
  <w:style w:type="paragraph" w:styleId="13">
    <w:name w:val="annotation text"/>
    <w:basedOn w:val="1"/>
    <w:link w:val="84"/>
    <w:autoRedefine/>
    <w:unhideWhenUsed/>
    <w:qFormat/>
    <w:uiPriority w:val="99"/>
    <w:pPr>
      <w:spacing w:line="240" w:lineRule="auto"/>
      <w:ind w:firstLine="0" w:firstLineChars="0"/>
      <w:jc w:val="left"/>
    </w:pPr>
    <w:rPr>
      <w:sz w:val="20"/>
      <w:szCs w:val="20"/>
    </w:rPr>
  </w:style>
  <w:style w:type="paragraph" w:styleId="14">
    <w:name w:val="Body Text Indent"/>
    <w:basedOn w:val="1"/>
    <w:link w:val="72"/>
    <w:autoRedefine/>
    <w:qFormat/>
    <w:uiPriority w:val="0"/>
    <w:pPr>
      <w:spacing w:after="120"/>
      <w:ind w:left="420" w:leftChars="200"/>
    </w:pPr>
  </w:style>
  <w:style w:type="paragraph" w:styleId="15">
    <w:name w:val="toc 5"/>
    <w:basedOn w:val="1"/>
    <w:next w:val="1"/>
    <w:autoRedefine/>
    <w:unhideWhenUsed/>
    <w:qFormat/>
    <w:uiPriority w:val="39"/>
    <w:pPr>
      <w:spacing w:line="240" w:lineRule="auto"/>
      <w:ind w:left="1680" w:leftChars="800" w:firstLine="0" w:firstLineChars="0"/>
    </w:pPr>
    <w:rPr>
      <w:rFonts w:asciiTheme="minorHAnsi" w:hAnsiTheme="minorHAnsi" w:eastAsiaTheme="minorEastAsia" w:cstheme="minorBidi"/>
      <w:sz w:val="21"/>
      <w:szCs w:val="22"/>
    </w:rPr>
  </w:style>
  <w:style w:type="paragraph" w:styleId="16">
    <w:name w:val="toc 3"/>
    <w:basedOn w:val="1"/>
    <w:next w:val="1"/>
    <w:autoRedefine/>
    <w:qFormat/>
    <w:uiPriority w:val="39"/>
    <w:pPr>
      <w:ind w:left="840" w:leftChars="400"/>
    </w:pPr>
  </w:style>
  <w:style w:type="paragraph" w:styleId="17">
    <w:name w:val="toc 8"/>
    <w:basedOn w:val="1"/>
    <w:next w:val="1"/>
    <w:autoRedefine/>
    <w:unhideWhenUsed/>
    <w:qFormat/>
    <w:uiPriority w:val="39"/>
    <w:pPr>
      <w:spacing w:line="240" w:lineRule="auto"/>
      <w:ind w:left="2940" w:leftChars="1400" w:firstLine="0" w:firstLineChars="0"/>
    </w:pPr>
    <w:rPr>
      <w:rFonts w:asciiTheme="minorHAnsi" w:hAnsiTheme="minorHAnsi" w:eastAsiaTheme="minorEastAsia" w:cstheme="minorBidi"/>
      <w:sz w:val="21"/>
      <w:szCs w:val="22"/>
    </w:rPr>
  </w:style>
  <w:style w:type="paragraph" w:styleId="18">
    <w:name w:val="Date"/>
    <w:basedOn w:val="1"/>
    <w:next w:val="1"/>
    <w:autoRedefine/>
    <w:qFormat/>
    <w:uiPriority w:val="0"/>
  </w:style>
  <w:style w:type="paragraph" w:styleId="19">
    <w:name w:val="footer"/>
    <w:basedOn w:val="1"/>
    <w:link w:val="49"/>
    <w:autoRedefine/>
    <w:qFormat/>
    <w:uiPriority w:val="99"/>
    <w:pPr>
      <w:tabs>
        <w:tab w:val="center" w:pos="4153"/>
        <w:tab w:val="right" w:pos="8306"/>
      </w:tabs>
      <w:snapToGrid w:val="0"/>
      <w:jc w:val="left"/>
    </w:pPr>
    <w:rPr>
      <w:sz w:val="18"/>
      <w:szCs w:val="18"/>
    </w:rPr>
  </w:style>
  <w:style w:type="paragraph" w:styleId="20">
    <w:name w:val="header"/>
    <w:basedOn w:val="1"/>
    <w:link w:val="50"/>
    <w:autoRedefine/>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style>
  <w:style w:type="paragraph" w:styleId="22">
    <w:name w:val="toc 4"/>
    <w:basedOn w:val="1"/>
    <w:next w:val="1"/>
    <w:autoRedefine/>
    <w:unhideWhenUsed/>
    <w:qFormat/>
    <w:uiPriority w:val="39"/>
    <w:pPr>
      <w:spacing w:line="240" w:lineRule="auto"/>
      <w:ind w:left="1260" w:leftChars="600" w:firstLine="0" w:firstLineChars="0"/>
    </w:pPr>
    <w:rPr>
      <w:rFonts w:asciiTheme="minorHAnsi" w:hAnsiTheme="minorHAnsi" w:eastAsiaTheme="minorEastAsia" w:cstheme="minorBidi"/>
      <w:sz w:val="21"/>
      <w:szCs w:val="22"/>
    </w:rPr>
  </w:style>
  <w:style w:type="paragraph" w:styleId="23">
    <w:name w:val="toc 6"/>
    <w:basedOn w:val="1"/>
    <w:next w:val="1"/>
    <w:autoRedefine/>
    <w:unhideWhenUsed/>
    <w:qFormat/>
    <w:uiPriority w:val="39"/>
    <w:pPr>
      <w:spacing w:line="240" w:lineRule="auto"/>
      <w:ind w:left="2100" w:leftChars="1000" w:firstLine="0" w:firstLineChars="0"/>
    </w:pPr>
    <w:rPr>
      <w:rFonts w:asciiTheme="minorHAnsi" w:hAnsiTheme="minorHAnsi" w:eastAsiaTheme="minorEastAsia" w:cstheme="minorBidi"/>
      <w:sz w:val="21"/>
      <w:szCs w:val="22"/>
    </w:rPr>
  </w:style>
  <w:style w:type="paragraph" w:styleId="24">
    <w:name w:val="toc 2"/>
    <w:basedOn w:val="1"/>
    <w:next w:val="1"/>
    <w:autoRedefine/>
    <w:qFormat/>
    <w:uiPriority w:val="39"/>
    <w:pPr>
      <w:ind w:left="420" w:leftChars="200"/>
    </w:pPr>
  </w:style>
  <w:style w:type="paragraph" w:styleId="25">
    <w:name w:val="toc 9"/>
    <w:basedOn w:val="1"/>
    <w:next w:val="1"/>
    <w:autoRedefine/>
    <w:unhideWhenUsed/>
    <w:qFormat/>
    <w:uiPriority w:val="39"/>
    <w:pPr>
      <w:spacing w:line="240" w:lineRule="auto"/>
      <w:ind w:left="3360" w:leftChars="1600" w:firstLine="0" w:firstLineChars="0"/>
    </w:pPr>
    <w:rPr>
      <w:rFonts w:asciiTheme="minorHAnsi" w:hAnsiTheme="minorHAnsi" w:eastAsiaTheme="minorEastAsia" w:cstheme="minorBidi"/>
      <w:sz w:val="21"/>
      <w:szCs w:val="22"/>
    </w:rPr>
  </w:style>
  <w:style w:type="paragraph" w:styleId="26">
    <w:name w:val="Title"/>
    <w:basedOn w:val="1"/>
    <w:next w:val="1"/>
    <w:link w:val="67"/>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7">
    <w:name w:val="annotation subject"/>
    <w:basedOn w:val="13"/>
    <w:next w:val="13"/>
    <w:link w:val="85"/>
    <w:autoRedefine/>
    <w:unhideWhenUsed/>
    <w:qFormat/>
    <w:uiPriority w:val="99"/>
    <w:rPr>
      <w:b/>
      <w:bCs/>
    </w:rPr>
  </w:style>
  <w:style w:type="paragraph" w:styleId="28">
    <w:name w:val="Body Text First Indent 2"/>
    <w:basedOn w:val="14"/>
    <w:link w:val="73"/>
    <w:autoRedefine/>
    <w:unhideWhenUsed/>
    <w:qFormat/>
    <w:uiPriority w:val="99"/>
    <w:pPr>
      <w:spacing w:line="240" w:lineRule="auto"/>
      <w:ind w:firstLine="420"/>
    </w:pPr>
    <w:rPr>
      <w:sz w:val="20"/>
      <w:szCs w:val="20"/>
    </w:rPr>
  </w:style>
  <w:style w:type="table" w:styleId="30">
    <w:name w:val="Table Grid"/>
    <w:basedOn w:val="29"/>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1">
    <w:name w:val="Table Grid 1"/>
    <w:basedOn w:val="29"/>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32">
    <w:name w:val="Light List Accent 3"/>
    <w:basedOn w:val="29"/>
    <w:autoRedefine/>
    <w:qFormat/>
    <w:uiPriority w:val="61"/>
    <w:rPr>
      <w:rFonts w:asciiTheme="minorHAnsi" w:hAnsiTheme="minorHAnsi" w:eastAsiaTheme="minorEastAsia" w:cstheme="minorBidi"/>
      <w:sz w:val="22"/>
      <w:szCs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4">
    <w:name w:val="page number"/>
    <w:basedOn w:val="33"/>
    <w:autoRedefine/>
    <w:qFormat/>
    <w:uiPriority w:val="0"/>
  </w:style>
  <w:style w:type="character" w:styleId="35">
    <w:name w:val="FollowedHyperlink"/>
    <w:basedOn w:val="33"/>
    <w:autoRedefine/>
    <w:unhideWhenUsed/>
    <w:qFormat/>
    <w:uiPriority w:val="99"/>
    <w:rPr>
      <w:color w:val="954F72" w:themeColor="followedHyperlink"/>
      <w:u w:val="single"/>
      <w14:textFill>
        <w14:solidFill>
          <w14:schemeClr w14:val="folHlink"/>
        </w14:solidFill>
      </w14:textFill>
    </w:rPr>
  </w:style>
  <w:style w:type="character" w:styleId="36">
    <w:name w:val="Emphasis"/>
    <w:basedOn w:val="33"/>
    <w:autoRedefine/>
    <w:qFormat/>
    <w:uiPriority w:val="20"/>
    <w:rPr>
      <w:i/>
      <w:iCs/>
    </w:rPr>
  </w:style>
  <w:style w:type="character" w:styleId="37">
    <w:name w:val="Hyperlink"/>
    <w:basedOn w:val="33"/>
    <w:autoRedefine/>
    <w:qFormat/>
    <w:uiPriority w:val="99"/>
    <w:rPr>
      <w:color w:val="0000FF"/>
      <w:u w:val="single"/>
    </w:rPr>
  </w:style>
  <w:style w:type="character" w:styleId="38">
    <w:name w:val="annotation reference"/>
    <w:basedOn w:val="33"/>
    <w:autoRedefine/>
    <w:unhideWhenUsed/>
    <w:qFormat/>
    <w:uiPriority w:val="99"/>
    <w:rPr>
      <w:sz w:val="21"/>
      <w:szCs w:val="21"/>
    </w:rPr>
  </w:style>
  <w:style w:type="character" w:customStyle="1" w:styleId="39">
    <w:name w:val="标题 1 字符"/>
    <w:basedOn w:val="33"/>
    <w:link w:val="2"/>
    <w:autoRedefine/>
    <w:qFormat/>
    <w:uiPriority w:val="0"/>
    <w:rPr>
      <w:rFonts w:eastAsia="黑体"/>
      <w:kern w:val="2"/>
      <w:sz w:val="24"/>
      <w:szCs w:val="24"/>
    </w:rPr>
  </w:style>
  <w:style w:type="character" w:customStyle="1" w:styleId="40">
    <w:name w:val="标题 2 字符"/>
    <w:basedOn w:val="33"/>
    <w:link w:val="3"/>
    <w:autoRedefine/>
    <w:qFormat/>
    <w:uiPriority w:val="0"/>
    <w:rPr>
      <w:rFonts w:eastAsia="黑体" w:cstheme="majorBidi"/>
      <w:b/>
      <w:bCs/>
      <w:kern w:val="2"/>
      <w:sz w:val="24"/>
      <w:szCs w:val="32"/>
    </w:rPr>
  </w:style>
  <w:style w:type="character" w:customStyle="1" w:styleId="41">
    <w:name w:val="标题 3 字符"/>
    <w:basedOn w:val="33"/>
    <w:link w:val="4"/>
    <w:autoRedefine/>
    <w:qFormat/>
    <w:uiPriority w:val="0"/>
    <w:rPr>
      <w:bCs/>
      <w:kern w:val="2"/>
      <w:sz w:val="24"/>
      <w:szCs w:val="32"/>
    </w:rPr>
  </w:style>
  <w:style w:type="character" w:customStyle="1" w:styleId="42">
    <w:name w:val="标题 4 字符"/>
    <w:basedOn w:val="33"/>
    <w:link w:val="5"/>
    <w:autoRedefine/>
    <w:semiHidden/>
    <w:qFormat/>
    <w:uiPriority w:val="0"/>
    <w:rPr>
      <w:rFonts w:asciiTheme="majorHAnsi" w:hAnsiTheme="majorHAnsi" w:eastAsiaTheme="majorEastAsia" w:cstheme="majorBidi"/>
      <w:b/>
      <w:bCs/>
      <w:kern w:val="2"/>
      <w:sz w:val="28"/>
      <w:szCs w:val="28"/>
    </w:rPr>
  </w:style>
  <w:style w:type="character" w:customStyle="1" w:styleId="43">
    <w:name w:val="标题 5 字符"/>
    <w:basedOn w:val="33"/>
    <w:link w:val="6"/>
    <w:autoRedefine/>
    <w:semiHidden/>
    <w:qFormat/>
    <w:uiPriority w:val="0"/>
    <w:rPr>
      <w:b/>
      <w:bCs/>
      <w:kern w:val="2"/>
      <w:sz w:val="28"/>
      <w:szCs w:val="28"/>
    </w:rPr>
  </w:style>
  <w:style w:type="character" w:customStyle="1" w:styleId="44">
    <w:name w:val="标题 6 字符"/>
    <w:basedOn w:val="33"/>
    <w:link w:val="7"/>
    <w:autoRedefine/>
    <w:semiHidden/>
    <w:qFormat/>
    <w:uiPriority w:val="0"/>
    <w:rPr>
      <w:rFonts w:asciiTheme="majorHAnsi" w:hAnsiTheme="majorHAnsi" w:eastAsiaTheme="majorEastAsia" w:cstheme="majorBidi"/>
      <w:b/>
      <w:bCs/>
      <w:kern w:val="2"/>
      <w:sz w:val="24"/>
      <w:szCs w:val="24"/>
    </w:rPr>
  </w:style>
  <w:style w:type="character" w:customStyle="1" w:styleId="45">
    <w:name w:val="标题 7 字符"/>
    <w:basedOn w:val="33"/>
    <w:link w:val="8"/>
    <w:autoRedefine/>
    <w:semiHidden/>
    <w:qFormat/>
    <w:uiPriority w:val="0"/>
    <w:rPr>
      <w:b/>
      <w:bCs/>
      <w:kern w:val="2"/>
      <w:sz w:val="24"/>
      <w:szCs w:val="24"/>
    </w:rPr>
  </w:style>
  <w:style w:type="character" w:customStyle="1" w:styleId="46">
    <w:name w:val="标题 8 字符"/>
    <w:basedOn w:val="33"/>
    <w:link w:val="9"/>
    <w:autoRedefine/>
    <w:semiHidden/>
    <w:qFormat/>
    <w:uiPriority w:val="0"/>
    <w:rPr>
      <w:rFonts w:asciiTheme="majorHAnsi" w:hAnsiTheme="majorHAnsi" w:eastAsiaTheme="majorEastAsia" w:cstheme="majorBidi"/>
      <w:kern w:val="2"/>
      <w:sz w:val="24"/>
      <w:szCs w:val="24"/>
    </w:rPr>
  </w:style>
  <w:style w:type="character" w:customStyle="1" w:styleId="47">
    <w:name w:val="标题 9 字符"/>
    <w:basedOn w:val="33"/>
    <w:link w:val="10"/>
    <w:autoRedefine/>
    <w:semiHidden/>
    <w:qFormat/>
    <w:uiPriority w:val="0"/>
    <w:rPr>
      <w:rFonts w:asciiTheme="majorHAnsi" w:hAnsiTheme="majorHAnsi" w:eastAsiaTheme="majorEastAsia" w:cstheme="majorBidi"/>
      <w:kern w:val="2"/>
      <w:sz w:val="21"/>
      <w:szCs w:val="21"/>
    </w:rPr>
  </w:style>
  <w:style w:type="character" w:customStyle="1" w:styleId="48">
    <w:name w:val="题注 字符"/>
    <w:basedOn w:val="33"/>
    <w:link w:val="12"/>
    <w:autoRedefine/>
    <w:qFormat/>
    <w:uiPriority w:val="0"/>
    <w:rPr>
      <w:rFonts w:eastAsia="黑体" w:asciiTheme="majorHAnsi" w:hAnsiTheme="majorHAnsi" w:cstheme="majorBidi"/>
      <w:kern w:val="2"/>
      <w:sz w:val="24"/>
    </w:rPr>
  </w:style>
  <w:style w:type="character" w:customStyle="1" w:styleId="49">
    <w:name w:val="页脚 字符"/>
    <w:basedOn w:val="33"/>
    <w:link w:val="19"/>
    <w:autoRedefine/>
    <w:qFormat/>
    <w:uiPriority w:val="99"/>
    <w:rPr>
      <w:kern w:val="2"/>
      <w:sz w:val="18"/>
      <w:szCs w:val="18"/>
    </w:rPr>
  </w:style>
  <w:style w:type="character" w:customStyle="1" w:styleId="50">
    <w:name w:val="页眉 字符"/>
    <w:basedOn w:val="33"/>
    <w:link w:val="20"/>
    <w:autoRedefine/>
    <w:qFormat/>
    <w:uiPriority w:val="99"/>
    <w:rPr>
      <w:kern w:val="2"/>
      <w:sz w:val="18"/>
      <w:szCs w:val="18"/>
    </w:rPr>
  </w:style>
  <w:style w:type="paragraph" w:customStyle="1" w:styleId="51">
    <w:name w:val="MTDisplayEquation"/>
    <w:basedOn w:val="1"/>
    <w:next w:val="1"/>
    <w:autoRedefine/>
    <w:qFormat/>
    <w:uiPriority w:val="0"/>
    <w:pPr>
      <w:tabs>
        <w:tab w:val="center" w:pos="4760"/>
        <w:tab w:val="right" w:pos="8300"/>
      </w:tabs>
      <w:spacing w:line="440" w:lineRule="exact"/>
      <w:ind w:left="1200"/>
    </w:pPr>
    <w:rPr>
      <w:rFonts w:ascii="宋体" w:hAnsi="宋体"/>
    </w:rPr>
  </w:style>
  <w:style w:type="paragraph" w:customStyle="1" w:styleId="52">
    <w:name w:val="目录 11"/>
    <w:basedOn w:val="1"/>
    <w:next w:val="1"/>
    <w:autoRedefine/>
    <w:qFormat/>
    <w:uiPriority w:val="39"/>
    <w:pPr>
      <w:tabs>
        <w:tab w:val="right" w:leader="dot" w:pos="8296"/>
      </w:tabs>
    </w:pPr>
    <w:rPr>
      <w:rFonts w:ascii="黑体" w:hAnsi="宋体"/>
      <w:b/>
    </w:rPr>
  </w:style>
  <w:style w:type="paragraph" w:customStyle="1" w:styleId="53">
    <w:name w:val="目录 21"/>
    <w:basedOn w:val="1"/>
    <w:next w:val="1"/>
    <w:autoRedefine/>
    <w:qFormat/>
    <w:uiPriority w:val="39"/>
    <w:pPr>
      <w:ind w:left="420"/>
    </w:pPr>
  </w:style>
  <w:style w:type="paragraph" w:styleId="54">
    <w:name w:val="List Paragraph"/>
    <w:basedOn w:val="1"/>
    <w:next w:val="4"/>
    <w:link w:val="70"/>
    <w:autoRedefine/>
    <w:qFormat/>
    <w:uiPriority w:val="34"/>
    <w:pPr>
      <w:numPr>
        <w:ilvl w:val="0"/>
        <w:numId w:val="2"/>
      </w:numPr>
      <w:ind w:firstLine="0" w:firstLineChars="0"/>
      <w:jc w:val="left"/>
    </w:pPr>
    <w:rPr>
      <w:rFonts w:asciiTheme="minorHAnsi" w:hAnsiTheme="minorHAnsi" w:cstheme="minorBidi"/>
      <w:szCs w:val="22"/>
    </w:rPr>
  </w:style>
  <w:style w:type="character" w:styleId="55">
    <w:name w:val="Placeholder Text"/>
    <w:basedOn w:val="33"/>
    <w:autoRedefine/>
    <w:semiHidden/>
    <w:qFormat/>
    <w:uiPriority w:val="99"/>
    <w:rPr>
      <w:color w:val="808080"/>
    </w:rPr>
  </w:style>
  <w:style w:type="paragraph" w:customStyle="1" w:styleId="56">
    <w:name w:val="2.权利要求下属段落"/>
    <w:basedOn w:val="1"/>
    <w:link w:val="57"/>
    <w:autoRedefine/>
    <w:qFormat/>
    <w:uiPriority w:val="0"/>
    <w:pPr>
      <w:spacing w:before="160" w:line="288" w:lineRule="auto"/>
      <w:ind w:left="454" w:firstLine="440"/>
    </w:pPr>
    <w:rPr>
      <w:sz w:val="22"/>
      <w:szCs w:val="22"/>
    </w:rPr>
  </w:style>
  <w:style w:type="character" w:customStyle="1" w:styleId="57">
    <w:name w:val="2.权利要求下属段落 Char"/>
    <w:link w:val="56"/>
    <w:autoRedefine/>
    <w:qFormat/>
    <w:uiPriority w:val="0"/>
    <w:rPr>
      <w:kern w:val="2"/>
      <w:sz w:val="22"/>
      <w:szCs w:val="22"/>
    </w:rPr>
  </w:style>
  <w:style w:type="paragraph" w:customStyle="1" w:styleId="58">
    <w:name w:val="表"/>
    <w:basedOn w:val="1"/>
    <w:link w:val="59"/>
    <w:autoRedefine/>
    <w:qFormat/>
    <w:uiPriority w:val="0"/>
    <w:pPr>
      <w:snapToGrid w:val="0"/>
      <w:spacing w:line="400" w:lineRule="exact"/>
      <w:ind w:firstLine="0" w:firstLineChars="0"/>
      <w:jc w:val="center"/>
    </w:pPr>
    <w:rPr>
      <w:rFonts w:ascii="宋体" w:hAnsi="宋体"/>
      <w:kern w:val="0"/>
      <w:sz w:val="21"/>
      <w:szCs w:val="21"/>
    </w:rPr>
  </w:style>
  <w:style w:type="character" w:customStyle="1" w:styleId="59">
    <w:name w:val="表 字符"/>
    <w:basedOn w:val="33"/>
    <w:link w:val="58"/>
    <w:autoRedefine/>
    <w:qFormat/>
    <w:uiPriority w:val="0"/>
    <w:rPr>
      <w:rFonts w:ascii="宋体" w:hAnsi="宋体"/>
      <w:sz w:val="21"/>
      <w:szCs w:val="21"/>
    </w:rPr>
  </w:style>
  <w:style w:type="paragraph" w:customStyle="1" w:styleId="60">
    <w:name w:val="3.说明书正文"/>
    <w:link w:val="61"/>
    <w:autoRedefine/>
    <w:qFormat/>
    <w:uiPriority w:val="0"/>
    <w:pPr>
      <w:spacing w:before="160" w:line="288" w:lineRule="auto"/>
      <w:ind w:firstLine="440" w:firstLineChars="200"/>
      <w:jc w:val="both"/>
    </w:pPr>
    <w:rPr>
      <w:rFonts w:ascii="Times New Roman" w:hAnsi="Times New Roman" w:eastAsia="宋体" w:cs="Times New Roman"/>
      <w:kern w:val="2"/>
      <w:sz w:val="22"/>
      <w:szCs w:val="22"/>
      <w:lang w:val="en-US" w:eastAsia="zh-CN" w:bidi="ar-SA"/>
    </w:rPr>
  </w:style>
  <w:style w:type="character" w:customStyle="1" w:styleId="61">
    <w:name w:val="3.说明书正文 Char"/>
    <w:link w:val="60"/>
    <w:autoRedefine/>
    <w:qFormat/>
    <w:uiPriority w:val="0"/>
    <w:rPr>
      <w:kern w:val="2"/>
      <w:sz w:val="22"/>
      <w:szCs w:val="22"/>
    </w:rPr>
  </w:style>
  <w:style w:type="paragraph" w:customStyle="1" w:styleId="62">
    <w:name w:val="表头"/>
    <w:link w:val="63"/>
    <w:autoRedefine/>
    <w:qFormat/>
    <w:uiPriority w:val="0"/>
    <w:pPr>
      <w:keepNext/>
      <w:ind w:firstLine="200" w:firstLineChars="200"/>
    </w:pPr>
    <w:rPr>
      <w:rFonts w:eastAsia="黑体" w:asciiTheme="majorHAnsi" w:hAnsiTheme="majorHAnsi" w:cstheme="majorBidi"/>
      <w:kern w:val="2"/>
      <w:sz w:val="24"/>
      <w:lang w:val="en-US" w:eastAsia="zh-CN" w:bidi="ar-SA"/>
    </w:rPr>
  </w:style>
  <w:style w:type="character" w:customStyle="1" w:styleId="63">
    <w:name w:val="表头 字符"/>
    <w:basedOn w:val="48"/>
    <w:link w:val="62"/>
    <w:autoRedefine/>
    <w:qFormat/>
    <w:uiPriority w:val="0"/>
    <w:rPr>
      <w:rFonts w:eastAsia="黑体" w:asciiTheme="majorHAnsi" w:hAnsiTheme="majorHAnsi" w:cstheme="majorBidi"/>
      <w:kern w:val="2"/>
      <w:sz w:val="24"/>
    </w:rPr>
  </w:style>
  <w:style w:type="paragraph" w:customStyle="1" w:styleId="64">
    <w:name w:val="TOC 标题1"/>
    <w:basedOn w:val="2"/>
    <w:next w:val="1"/>
    <w:autoRedefine/>
    <w:unhideWhenUsed/>
    <w:qFormat/>
    <w:uiPriority w:val="39"/>
    <w:pPr>
      <w:spacing w:before="240" w:line="259" w:lineRule="auto"/>
      <w:outlineLvl w:val="9"/>
    </w:pPr>
    <w:rPr>
      <w:rFonts w:eastAsiaTheme="majorEastAsia"/>
      <w:b/>
      <w:bCs/>
      <w:color w:val="2F5597" w:themeColor="accent1" w:themeShade="BF"/>
      <w:kern w:val="0"/>
      <w:szCs w:val="32"/>
    </w:rPr>
  </w:style>
  <w:style w:type="paragraph" w:customStyle="1" w:styleId="65">
    <w:name w:val="正文无缩进"/>
    <w:basedOn w:val="1"/>
    <w:autoRedefine/>
    <w:qFormat/>
    <w:uiPriority w:val="0"/>
    <w:pPr>
      <w:ind w:firstLine="0" w:firstLineChars="0"/>
    </w:pPr>
  </w:style>
  <w:style w:type="paragraph" w:customStyle="1" w:styleId="66">
    <w:name w:val="TOC Heading"/>
    <w:basedOn w:val="2"/>
    <w:next w:val="1"/>
    <w:autoRedefine/>
    <w:unhideWhenUsed/>
    <w:qFormat/>
    <w:uiPriority w:val="39"/>
    <w:pPr>
      <w:spacing w:before="240" w:line="259" w:lineRule="auto"/>
      <w:outlineLvl w:val="9"/>
    </w:pPr>
    <w:rPr>
      <w:rFonts w:eastAsiaTheme="majorEastAsia"/>
      <w:b/>
      <w:bCs/>
      <w:color w:val="2F5597" w:themeColor="accent1" w:themeShade="BF"/>
      <w:kern w:val="0"/>
      <w:szCs w:val="32"/>
    </w:rPr>
  </w:style>
  <w:style w:type="character" w:customStyle="1" w:styleId="67">
    <w:name w:val="标题 字符"/>
    <w:basedOn w:val="33"/>
    <w:link w:val="26"/>
    <w:autoRedefine/>
    <w:qFormat/>
    <w:uiPriority w:val="10"/>
    <w:rPr>
      <w:rFonts w:asciiTheme="majorHAnsi" w:hAnsiTheme="majorHAnsi" w:eastAsiaTheme="majorEastAsia" w:cstheme="majorBidi"/>
      <w:b/>
      <w:bCs/>
      <w:kern w:val="2"/>
      <w:sz w:val="32"/>
      <w:szCs w:val="32"/>
    </w:rPr>
  </w:style>
  <w:style w:type="paragraph" w:customStyle="1" w:styleId="68">
    <w:name w:val="标题1"/>
    <w:basedOn w:val="1"/>
    <w:link w:val="69"/>
    <w:autoRedefine/>
    <w:qFormat/>
    <w:uiPriority w:val="0"/>
    <w:pPr>
      <w:ind w:firstLine="0" w:firstLineChars="0"/>
    </w:pPr>
    <w:rPr>
      <w:b/>
      <w:sz w:val="30"/>
    </w:rPr>
  </w:style>
  <w:style w:type="character" w:customStyle="1" w:styleId="69">
    <w:name w:val="标题1 字符"/>
    <w:basedOn w:val="39"/>
    <w:link w:val="68"/>
    <w:autoRedefine/>
    <w:qFormat/>
    <w:uiPriority w:val="0"/>
    <w:rPr>
      <w:rFonts w:eastAsia="黑体" w:asciiTheme="majorHAnsi" w:hAnsiTheme="majorHAnsi" w:cstheme="majorBidi"/>
      <w:b/>
      <w:kern w:val="2"/>
      <w:sz w:val="30"/>
      <w:szCs w:val="24"/>
      <w:lang w:val="zh-CN"/>
    </w:rPr>
  </w:style>
  <w:style w:type="character" w:customStyle="1" w:styleId="70">
    <w:name w:val="列表段落 字符"/>
    <w:link w:val="54"/>
    <w:autoRedefine/>
    <w:qFormat/>
    <w:locked/>
    <w:uiPriority w:val="34"/>
    <w:rPr>
      <w:rFonts w:asciiTheme="minorHAnsi" w:hAnsiTheme="minorHAnsi" w:cstheme="minorBidi"/>
      <w:kern w:val="2"/>
      <w:sz w:val="24"/>
      <w:szCs w:val="22"/>
    </w:rPr>
  </w:style>
  <w:style w:type="character" w:customStyle="1" w:styleId="71">
    <w:name w:val="Unresolved Mention"/>
    <w:basedOn w:val="33"/>
    <w:autoRedefine/>
    <w:semiHidden/>
    <w:unhideWhenUsed/>
    <w:qFormat/>
    <w:uiPriority w:val="99"/>
    <w:rPr>
      <w:color w:val="605E5C"/>
      <w:shd w:val="clear" w:color="auto" w:fill="E1DFDD"/>
    </w:rPr>
  </w:style>
  <w:style w:type="character" w:customStyle="1" w:styleId="72">
    <w:name w:val="正文文本缩进 字符"/>
    <w:basedOn w:val="33"/>
    <w:link w:val="14"/>
    <w:autoRedefine/>
    <w:qFormat/>
    <w:uiPriority w:val="0"/>
    <w:rPr>
      <w:kern w:val="2"/>
      <w:sz w:val="24"/>
      <w:szCs w:val="24"/>
    </w:rPr>
  </w:style>
  <w:style w:type="character" w:customStyle="1" w:styleId="73">
    <w:name w:val="正文文本首行缩进 2 字符"/>
    <w:basedOn w:val="72"/>
    <w:link w:val="28"/>
    <w:autoRedefine/>
    <w:qFormat/>
    <w:uiPriority w:val="99"/>
    <w:rPr>
      <w:kern w:val="2"/>
      <w:sz w:val="24"/>
      <w:szCs w:val="24"/>
    </w:rPr>
  </w:style>
  <w:style w:type="paragraph" w:customStyle="1" w:styleId="74">
    <w:name w:val="附录二级"/>
    <w:basedOn w:val="1"/>
    <w:link w:val="82"/>
    <w:autoRedefine/>
    <w:qFormat/>
    <w:uiPriority w:val="0"/>
    <w:pPr>
      <w:widowControl/>
      <w:numPr>
        <w:ilvl w:val="0"/>
        <w:numId w:val="3"/>
      </w:numPr>
      <w:spacing w:before="100" w:beforeLines="100" w:after="100" w:afterLines="100"/>
      <w:ind w:firstLine="0" w:firstLineChars="0"/>
      <w:jc w:val="left"/>
      <w:outlineLvl w:val="1"/>
    </w:pPr>
    <w:rPr>
      <w:rFonts w:ascii="黑体" w:hAnsi="黑体" w:eastAsia="黑体"/>
      <w:szCs w:val="20"/>
    </w:rPr>
  </w:style>
  <w:style w:type="paragraph" w:customStyle="1" w:styleId="75">
    <w:name w:val="列表段落1"/>
    <w:basedOn w:val="1"/>
    <w:autoRedefine/>
    <w:qFormat/>
    <w:uiPriority w:val="34"/>
    <w:pPr>
      <w:numPr>
        <w:ilvl w:val="0"/>
        <w:numId w:val="4"/>
      </w:numPr>
      <w:ind w:firstLine="0" w:firstLineChars="0"/>
    </w:pPr>
    <w:rPr>
      <w:szCs w:val="20"/>
    </w:rPr>
  </w:style>
  <w:style w:type="paragraph" w:customStyle="1" w:styleId="76">
    <w:name w:val="附录一级标题"/>
    <w:basedOn w:val="26"/>
    <w:link w:val="89"/>
    <w:autoRedefine/>
    <w:qFormat/>
    <w:uiPriority w:val="0"/>
    <w:pPr>
      <w:widowControl/>
      <w:numPr>
        <w:ilvl w:val="0"/>
        <w:numId w:val="5"/>
      </w:numPr>
      <w:tabs>
        <w:tab w:val="left" w:pos="360"/>
      </w:tabs>
      <w:spacing w:before="156" w:after="156"/>
      <w:ind w:firstLine="0" w:firstLineChars="0"/>
    </w:pPr>
    <w:rPr>
      <w:rFonts w:eastAsia="黑体"/>
      <w:sz w:val="28"/>
    </w:rPr>
  </w:style>
  <w:style w:type="paragraph" w:customStyle="1" w:styleId="77">
    <w:name w:val="附录三级"/>
    <w:basedOn w:val="1"/>
    <w:autoRedefine/>
    <w:qFormat/>
    <w:uiPriority w:val="0"/>
    <w:pPr>
      <w:widowControl/>
      <w:numPr>
        <w:ilvl w:val="2"/>
        <w:numId w:val="5"/>
      </w:numPr>
      <w:spacing w:before="156" w:after="156"/>
      <w:ind w:firstLine="0" w:firstLineChars="0"/>
      <w:jc w:val="left"/>
      <w:outlineLvl w:val="2"/>
    </w:pPr>
    <w:rPr>
      <w:rFonts w:ascii="黑体" w:hAnsi="黑体"/>
      <w:szCs w:val="20"/>
    </w:rPr>
  </w:style>
  <w:style w:type="paragraph" w:customStyle="1" w:styleId="78">
    <w:name w:val="dhn-正文"/>
    <w:basedOn w:val="1"/>
    <w:link w:val="79"/>
    <w:autoRedefine/>
    <w:qFormat/>
    <w:uiPriority w:val="0"/>
    <w:pPr>
      <w:widowControl/>
      <w:tabs>
        <w:tab w:val="right" w:pos="8306"/>
      </w:tabs>
      <w:ind w:firstLine="493" w:firstLineChars="0"/>
      <w:jc w:val="left"/>
    </w:pPr>
    <w:rPr>
      <w:rFonts w:ascii="Cambria Math" w:hAnsi="Cambria Math"/>
      <w:iCs/>
      <w:spacing w:val="4"/>
      <w:lang w:val="zh-CN"/>
    </w:rPr>
  </w:style>
  <w:style w:type="character" w:customStyle="1" w:styleId="79">
    <w:name w:val="dhn-正文 Char"/>
    <w:link w:val="78"/>
    <w:autoRedefine/>
    <w:qFormat/>
    <w:uiPriority w:val="0"/>
    <w:rPr>
      <w:rFonts w:ascii="Cambria Math" w:hAnsi="Cambria Math"/>
      <w:iCs/>
      <w:spacing w:val="4"/>
      <w:kern w:val="2"/>
      <w:sz w:val="24"/>
      <w:szCs w:val="24"/>
      <w:lang w:val="zh-CN"/>
    </w:rPr>
  </w:style>
  <w:style w:type="paragraph" w:customStyle="1" w:styleId="80">
    <w:name w:val="公式"/>
    <w:basedOn w:val="1"/>
    <w:link w:val="81"/>
    <w:autoRedefine/>
    <w:qFormat/>
    <w:uiPriority w:val="0"/>
    <w:pPr>
      <w:numPr>
        <w:ilvl w:val="0"/>
        <w:numId w:val="6"/>
      </w:numPr>
      <w:ind w:left="7246" w:hanging="442" w:firstLineChars="0"/>
      <w:jc w:val="left"/>
    </w:pPr>
  </w:style>
  <w:style w:type="character" w:customStyle="1" w:styleId="81">
    <w:name w:val="公式 字符"/>
    <w:basedOn w:val="33"/>
    <w:link w:val="80"/>
    <w:autoRedefine/>
    <w:qFormat/>
    <w:uiPriority w:val="0"/>
    <w:rPr>
      <w:kern w:val="2"/>
      <w:sz w:val="24"/>
      <w:szCs w:val="24"/>
    </w:rPr>
  </w:style>
  <w:style w:type="character" w:customStyle="1" w:styleId="82">
    <w:name w:val="附录二级 Char"/>
    <w:link w:val="74"/>
    <w:autoRedefine/>
    <w:qFormat/>
    <w:uiPriority w:val="0"/>
    <w:rPr>
      <w:rFonts w:ascii="黑体" w:hAnsi="黑体" w:eastAsia="黑体"/>
      <w:kern w:val="2"/>
      <w:sz w:val="24"/>
    </w:rPr>
  </w:style>
  <w:style w:type="paragraph" w:customStyle="1" w:styleId="83">
    <w:name w:val="Revision"/>
    <w:autoRedefine/>
    <w:hidden/>
    <w:semiHidden/>
    <w:qFormat/>
    <w:uiPriority w:val="99"/>
    <w:rPr>
      <w:rFonts w:ascii="Times New Roman" w:hAnsi="Times New Roman" w:eastAsia="宋体" w:cs="Times New Roman"/>
      <w:kern w:val="2"/>
      <w:lang w:val="en-US" w:eastAsia="zh-CN" w:bidi="ar-SA"/>
    </w:rPr>
  </w:style>
  <w:style w:type="character" w:customStyle="1" w:styleId="84">
    <w:name w:val="批注文字 字符"/>
    <w:basedOn w:val="33"/>
    <w:link w:val="13"/>
    <w:autoRedefine/>
    <w:qFormat/>
    <w:uiPriority w:val="99"/>
    <w:rPr>
      <w:kern w:val="2"/>
    </w:rPr>
  </w:style>
  <w:style w:type="character" w:customStyle="1" w:styleId="85">
    <w:name w:val="批注主题 字符"/>
    <w:basedOn w:val="84"/>
    <w:link w:val="27"/>
    <w:autoRedefine/>
    <w:qFormat/>
    <w:uiPriority w:val="99"/>
    <w:rPr>
      <w:b/>
      <w:bCs/>
      <w:kern w:val="2"/>
    </w:rPr>
  </w:style>
  <w:style w:type="character" w:customStyle="1" w:styleId="86">
    <w:name w:val="ql-font-timesnewroman"/>
    <w:basedOn w:val="33"/>
    <w:autoRedefine/>
    <w:qFormat/>
    <w:uiPriority w:val="0"/>
  </w:style>
  <w:style w:type="paragraph" w:customStyle="1" w:styleId="87">
    <w:name w:val="附公式"/>
    <w:basedOn w:val="76"/>
    <w:link w:val="90"/>
    <w:autoRedefine/>
    <w:qFormat/>
    <w:uiPriority w:val="0"/>
    <w:pPr>
      <w:tabs>
        <w:tab w:val="clear" w:pos="360"/>
      </w:tabs>
    </w:pPr>
  </w:style>
  <w:style w:type="paragraph" w:customStyle="1" w:styleId="88">
    <w:name w:val="附录公式"/>
    <w:basedOn w:val="80"/>
    <w:link w:val="91"/>
    <w:autoRedefine/>
    <w:qFormat/>
    <w:uiPriority w:val="0"/>
    <w:pPr>
      <w:numPr>
        <w:numId w:val="7"/>
      </w:numPr>
      <w:ind w:left="7224"/>
    </w:pPr>
  </w:style>
  <w:style w:type="character" w:customStyle="1" w:styleId="89">
    <w:name w:val="附录一级标题 字符"/>
    <w:basedOn w:val="67"/>
    <w:link w:val="76"/>
    <w:autoRedefine/>
    <w:qFormat/>
    <w:uiPriority w:val="0"/>
    <w:rPr>
      <w:rFonts w:eastAsia="黑体" w:asciiTheme="majorHAnsi" w:hAnsiTheme="majorHAnsi" w:cstheme="majorBidi"/>
      <w:kern w:val="2"/>
      <w:sz w:val="28"/>
      <w:szCs w:val="32"/>
    </w:rPr>
  </w:style>
  <w:style w:type="character" w:customStyle="1" w:styleId="90">
    <w:name w:val="附公式 字符"/>
    <w:basedOn w:val="89"/>
    <w:link w:val="87"/>
    <w:autoRedefine/>
    <w:qFormat/>
    <w:uiPriority w:val="0"/>
    <w:rPr>
      <w:rFonts w:eastAsia="黑体" w:asciiTheme="majorHAnsi" w:hAnsiTheme="majorHAnsi" w:cstheme="majorBidi"/>
      <w:kern w:val="2"/>
      <w:sz w:val="28"/>
      <w:szCs w:val="32"/>
    </w:rPr>
  </w:style>
  <w:style w:type="character" w:customStyle="1" w:styleId="91">
    <w:name w:val="附录公式 字符"/>
    <w:basedOn w:val="81"/>
    <w:link w:val="88"/>
    <w:autoRedefine/>
    <w:qFormat/>
    <w:uiPriority w:val="0"/>
    <w:rPr>
      <w:kern w:val="2"/>
      <w:sz w:val="24"/>
      <w:szCs w:val="24"/>
    </w:rPr>
  </w:style>
  <w:style w:type="paragraph" w:customStyle="1" w:styleId="92">
    <w:name w:val="注释"/>
    <w:basedOn w:val="1"/>
    <w:link w:val="93"/>
    <w:autoRedefine/>
    <w:qFormat/>
    <w:uiPriority w:val="0"/>
    <w:pPr>
      <w:ind w:left="400" w:leftChars="400" w:firstLine="0" w:firstLineChars="0"/>
    </w:pPr>
    <w:rPr>
      <w:rFonts w:ascii="Cambria Math" w:hAnsi="Cambria Math"/>
    </w:rPr>
  </w:style>
  <w:style w:type="character" w:customStyle="1" w:styleId="93">
    <w:name w:val="注释 字符"/>
    <w:basedOn w:val="33"/>
    <w:link w:val="92"/>
    <w:autoRedefine/>
    <w:qFormat/>
    <w:uiPriority w:val="0"/>
    <w:rPr>
      <w:rFonts w:ascii="Cambria Math" w:hAnsi="Cambria Math"/>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6E5C1D-CA56-4A2A-9EE7-FB7D8294FC7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1562</Words>
  <Characters>8910</Characters>
  <Lines>74</Lines>
  <Paragraphs>20</Paragraphs>
  <TotalTime>1649</TotalTime>
  <ScaleCrop>false</ScaleCrop>
  <LinksUpToDate>false</LinksUpToDate>
  <CharactersWithSpaces>10452</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2024-04-21T23:07:00Z</dcterms:created>
  <dc:creator>krl</dc:creator>
  <cp:lastModifiedBy>BJTYZ</cp:lastModifiedBy>
  <dcterms:modified xsi:type="dcterms:W3CDTF">2024-10-28T08:14:06Z</dcterms:modified>
  <dc:title>中国石油天然气集团公司</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WinEqns">
    <vt:bool>true</vt:bool>
  </property>
  <property fmtid="{D5CDD505-2E9C-101B-9397-08002B2CF9AE}" pid="4" name="KSOProductBuildVer">
    <vt:lpwstr>2052-12.1.0.16412</vt:lpwstr>
  </property>
  <property fmtid="{D5CDD505-2E9C-101B-9397-08002B2CF9AE}" pid="5" name="ICV">
    <vt:lpwstr>F0D5F683F6B541CF850ABE7918AADF86_13</vt:lpwstr>
  </property>
</Properties>
</file>